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E54A1" w14:textId="77777777" w:rsidR="008C0A7A" w:rsidRDefault="00953CA7">
      <w:pPr>
        <w:tabs>
          <w:tab w:val="left" w:pos="2546"/>
        </w:tabs>
        <w:spacing w:before="28" w:line="230" w:lineRule="exact"/>
        <w:ind w:left="10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61A39C58">
          <v:group id="_x0000_s1051" style="position:absolute;left:0;text-align:left;margin-left:28.55pt;margin-top:13.65pt;width:.1pt;height:.1pt;z-index:-6088;mso-position-horizontal-relative:page" coordorigin="571,273" coordsize="2,2">
            <v:shape id="_x0000_s1052" style="position:absolute;left:571;top:273;width:2;height:2" coordorigin="571,273" coordsize="0,0" path="m571,273r,e" filled="f" strokecolor="#231f20" strokeweight=".14994mm">
              <v:path arrowok="t"/>
            </v:shape>
            <w10:wrap anchorx="page"/>
          </v:group>
        </w:pict>
      </w:r>
      <w:r>
        <w:pict w14:anchorId="5CB1CC96">
          <v:group id="_x0000_s1049" style="position:absolute;left:0;text-align:left;margin-left:150.75pt;margin-top:13.65pt;width:.1pt;height:.1pt;z-index:1144;mso-position-horizontal-relative:page" coordorigin="3015,273" coordsize="2,2">
            <v:shape id="_x0000_s1050" style="position:absolute;left:3015;top:273;width:2;height:2" coordorigin="3015,273" coordsize="0,0" path="m3015,273r,e" filled="f" strokecolor="#231f20" strokeweight=".14994mm">
              <v:path arrowok="t"/>
            </v:shape>
            <w10:wrap anchorx="page"/>
          </v:group>
        </w:pict>
      </w:r>
      <w:r>
        <w:pict w14:anchorId="2C02708F">
          <v:group id="_x0000_s1047" style="position:absolute;left:0;text-align:left;margin-left:28.55pt;margin-top:25.15pt;width:.1pt;height:.1pt;z-index:-6040;mso-position-horizontal-relative:page" coordorigin="571,503" coordsize="2,2">
            <v:shape id="_x0000_s1048" style="position:absolute;left:571;top:503;width:2;height:2" coordorigin="571,503" coordsize="0,0" path="m571,503r,e" filled="f" strokecolor="#231f20" strokeweight=".14994mm">
              <v:path arrowok="t"/>
            </v:shape>
            <w10:wrap anchorx="page"/>
          </v:group>
        </w:pict>
      </w:r>
      <w:r>
        <w:pict w14:anchorId="74A4DE29">
          <v:group id="_x0000_s1045" style="position:absolute;left:0;text-align:left;margin-left:150.75pt;margin-top:25.15pt;width:.1pt;height:.1pt;z-index:1192;mso-position-horizontal-relative:page" coordorigin="3015,503" coordsize="2,2">
            <v:shape id="_x0000_s1046" style="position:absolute;left:3015;top:503;width:2;height:2" coordorigin="3015,503" coordsize="0,0" path="m3015,503r,e" filled="f" strokecolor="#231f20" strokeweight=".14994mm">
              <v:path arrowok="t"/>
            </v:shape>
            <w10:wrap anchorx="page"/>
          </v:group>
        </w:pict>
      </w:r>
      <w:r>
        <w:pict w14:anchorId="73EBBE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28.35pt;margin-top:52.4pt;width:82.2pt;height:58.3pt;z-index:1216;mso-position-horizontal-relative:page">
            <v:imagedata r:id="rId5" o:title=""/>
            <w10:wrap anchorx="page"/>
          </v:shape>
        </w:pic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 xml:space="preserve"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 xml:space="preserve">B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ab/>
      </w:r>
      <w:r>
        <w:rPr>
          <w:rFonts w:ascii="Theinhardt Black" w:hAnsi="Theinhardt Black"/>
          <w:b/>
          <w:color w:val="231F20"/>
          <w:spacing w:val="25"/>
          <w:sz w:val="18"/>
        </w:rPr>
        <w:t xml:space="preserve"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 xml:space="preserve"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ab/>
      </w:r>
      <w:r>
        <w:rPr>
          <w:rFonts w:ascii="Theinhardt Black" w:hAnsi="Theinhardt Black"/>
          <w:b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Prix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Solaire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Bâtiments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à</w:t>
      </w:r>
      <w:r>
        <w:rPr>
          <w:rFonts w:ascii="Theinhardt Regular" w:hAnsi="Theinhardt Regular"/>
          <w:color w:val="231F20"/>
          <w:spacing w:val="-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Énergie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Positive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24"/>
          <w:position w:val="6"/>
          <w:sz w:val="10"/>
        </w:rPr>
        <w:t xml:space="preserve"> </w:t>
      </w:r>
      <w:r>
        <w:rPr>
          <w:rFonts w:ascii="Theinhardt Regular" w:hAnsi="Theinhardt Regular"/>
          <w:color w:val="231F20"/>
          <w:sz w:val="18"/>
        </w:rPr>
        <w:t>2021</w:t>
      </w:r>
    </w:p>
    <w:p w14:paraId="21C19269" w14:textId="77777777" w:rsidR="008C0A7A" w:rsidRDefault="00953CA7">
      <w:pPr>
        <w:spacing w:before="28" w:line="230" w:lineRule="exact"/>
        <w:ind w:left="106" w:right="107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Construites</w:t>
      </w:r>
      <w:r>
        <w:rPr>
          <w:rFonts w:ascii="Theinhardt Bold" w:eastAsia="Theinhardt Bold" w:hAnsi="Theinhardt Bold" w:cs="Theinhardt Bold"/>
          <w:b/>
          <w:bCs/>
          <w:color w:val="0C1C23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à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Thônex</w:t>
      </w:r>
      <w:r>
        <w:rPr>
          <w:rFonts w:ascii="Theinhardt Bold" w:eastAsia="Theinhardt Bold" w:hAnsi="Theinhardt Bold" w:cs="Theinhardt Bold"/>
          <w:b/>
          <w:bCs/>
          <w:color w:val="0C1C23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(GE)</w:t>
      </w:r>
      <w:r>
        <w:rPr>
          <w:rFonts w:ascii="Theinhardt Bold" w:eastAsia="Theinhardt Bold" w:hAnsi="Theinhardt Bold" w:cs="Theinhardt Bold"/>
          <w:b/>
          <w:bCs/>
          <w:color w:val="0C1C23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en</w:t>
      </w:r>
      <w:r>
        <w:rPr>
          <w:rFonts w:ascii="Theinhardt Bold" w:eastAsia="Theinhardt Bold" w:hAnsi="Theinhardt Bold" w:cs="Theinhardt Bold"/>
          <w:b/>
          <w:bCs/>
          <w:color w:val="0C1C23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2020,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les</w:t>
      </w:r>
      <w:r>
        <w:rPr>
          <w:rFonts w:ascii="Theinhardt Bold" w:eastAsia="Theinhardt Bold" w:hAnsi="Theinhardt Bold" w:cs="Theinhardt Bold"/>
          <w:b/>
          <w:bCs/>
          <w:color w:val="0C1C23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quatre</w:t>
      </w:r>
      <w:r>
        <w:rPr>
          <w:rFonts w:ascii="Theinhardt Bold" w:eastAsia="Theinhardt Bold" w:hAnsi="Theinhardt Bold" w:cs="Theinhardt Bold"/>
          <w:b/>
          <w:bCs/>
          <w:color w:val="0C1C23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villas</w:t>
      </w:r>
      <w:r>
        <w:rPr>
          <w:rFonts w:ascii="Theinhardt Bold" w:eastAsia="Theinhardt Bold" w:hAnsi="Theinhardt Bold" w:cs="Theinhardt Bold"/>
          <w:b/>
          <w:bCs/>
          <w:color w:val="0C1C23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contiguës</w:t>
      </w:r>
      <w:r>
        <w:rPr>
          <w:rFonts w:ascii="Theinhardt Bold" w:eastAsia="Theinhardt Bold" w:hAnsi="Theinhardt Bold" w:cs="Theinhardt Bold"/>
          <w:b/>
          <w:bCs/>
          <w:color w:val="0C1C23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au</w:t>
      </w:r>
      <w:r>
        <w:rPr>
          <w:rFonts w:ascii="Theinhardt Bold" w:eastAsia="Theinhardt Bold" w:hAnsi="Theinhardt Bold" w:cs="Theinhardt Bold"/>
          <w:b/>
          <w:bCs/>
          <w:color w:val="0C1C23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standard</w:t>
      </w:r>
      <w:r>
        <w:rPr>
          <w:rFonts w:ascii="Theinhardt Bold" w:eastAsia="Theinhardt Bold" w:hAnsi="Theinhardt Bold" w:cs="Theinhardt Bold"/>
          <w:b/>
          <w:bCs/>
          <w:color w:val="0C1C23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Minergie-P</w:t>
      </w:r>
      <w:r>
        <w:rPr>
          <w:rFonts w:ascii="Theinhardt Bold" w:eastAsia="Theinhardt Bold" w:hAnsi="Theinhardt Bold" w:cs="Theinhardt Bold"/>
          <w:b/>
          <w:bCs/>
          <w:color w:val="0C1C23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consom-</w:t>
      </w:r>
      <w:r>
        <w:rPr>
          <w:rFonts w:ascii="Theinhardt Bold" w:eastAsia="Theinhardt Bold" w:hAnsi="Theinhardt Bold" w:cs="Theinhardt Bold"/>
          <w:b/>
          <w:bCs/>
          <w:color w:val="0C1C23"/>
          <w:spacing w:val="4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ment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ensemble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27’600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kWh/a.</w:t>
      </w:r>
      <w:r>
        <w:rPr>
          <w:rFonts w:ascii="Theinhardt Bold" w:eastAsia="Theinhardt Bold" w:hAnsi="Theinhardt Bold" w:cs="Theinhardt Bold"/>
          <w:b/>
          <w:bCs/>
          <w:color w:val="0C1C23"/>
          <w:spacing w:val="-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Une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isolation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thermique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exemplaire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33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à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38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cm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d’épaisseur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et</w:t>
      </w:r>
      <w:r>
        <w:rPr>
          <w:rFonts w:ascii="Theinhardt Bold" w:eastAsia="Theinhardt Bold" w:hAnsi="Theinhardt Bold" w:cs="Theinhardt Bold"/>
          <w:b/>
          <w:bCs/>
          <w:color w:val="0C1C23"/>
          <w:spacing w:val="7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0C1C23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valeurs</w:t>
      </w:r>
      <w:r>
        <w:rPr>
          <w:rFonts w:ascii="Theinhardt Bold" w:eastAsia="Theinhardt Bold" w:hAnsi="Theinhardt Bold" w:cs="Theinhardt Bold"/>
          <w:b/>
          <w:bCs/>
          <w:color w:val="0C1C23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U</w:t>
      </w:r>
      <w:r>
        <w:rPr>
          <w:rFonts w:ascii="Theinhardt Bold" w:eastAsia="Theinhardt Bold" w:hAnsi="Theinhardt Bold" w:cs="Theinhardt Bold"/>
          <w:b/>
          <w:bCs/>
          <w:color w:val="0C1C23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0C1C23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0,09</w:t>
      </w:r>
      <w:r>
        <w:rPr>
          <w:rFonts w:ascii="Theinhardt Bold" w:eastAsia="Theinhardt Bold" w:hAnsi="Theinhardt Bold" w:cs="Theinhardt Bold"/>
          <w:b/>
          <w:bCs/>
          <w:color w:val="0C1C23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à</w:t>
      </w:r>
      <w:r>
        <w:rPr>
          <w:rFonts w:ascii="Theinhardt Bold" w:eastAsia="Theinhardt Bold" w:hAnsi="Theinhardt Bold" w:cs="Theinhardt Bold"/>
          <w:b/>
          <w:bCs/>
          <w:color w:val="0C1C23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0,10</w:t>
      </w:r>
      <w:r>
        <w:rPr>
          <w:rFonts w:ascii="Theinhardt Bold" w:eastAsia="Theinhardt Bold" w:hAnsi="Theinhardt Bold" w:cs="Theinhardt Bold"/>
          <w:b/>
          <w:bCs/>
          <w:color w:val="0C1C23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sz w:val="18"/>
          <w:szCs w:val="18"/>
        </w:rPr>
        <w:t>W/m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position w:val="6"/>
          <w:sz w:val="10"/>
          <w:szCs w:val="10"/>
        </w:rPr>
        <w:t>2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sz w:val="18"/>
          <w:szCs w:val="18"/>
        </w:rPr>
        <w:t>K</w:t>
      </w:r>
      <w:r>
        <w:rPr>
          <w:rFonts w:ascii="Theinhardt Bold" w:eastAsia="Theinhardt Bold" w:hAnsi="Theinhardt Bold" w:cs="Theinhardt Bold"/>
          <w:b/>
          <w:bCs/>
          <w:color w:val="0C1C23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maintiennent</w:t>
      </w:r>
      <w:r>
        <w:rPr>
          <w:rFonts w:ascii="Theinhardt Bold" w:eastAsia="Theinhardt Bold" w:hAnsi="Theinhardt Bold" w:cs="Theinhardt Bold"/>
          <w:b/>
          <w:bCs/>
          <w:color w:val="0C1C23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leurs</w:t>
      </w:r>
      <w:r>
        <w:rPr>
          <w:rFonts w:ascii="Theinhardt Bold" w:eastAsia="Theinhardt Bold" w:hAnsi="Theinhardt Bold" w:cs="Theinhardt Bold"/>
          <w:b/>
          <w:bCs/>
          <w:color w:val="0C1C23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besoins</w:t>
      </w:r>
      <w:r>
        <w:rPr>
          <w:rFonts w:ascii="Theinhardt Bold" w:eastAsia="Theinhardt Bold" w:hAnsi="Theinhardt Bold" w:cs="Theinhardt Bold"/>
          <w:b/>
          <w:bCs/>
          <w:color w:val="0C1C23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énergétiques</w:t>
      </w:r>
      <w:r>
        <w:rPr>
          <w:rFonts w:ascii="Theinhardt Bold" w:eastAsia="Theinhardt Bold" w:hAnsi="Theinhardt Bold" w:cs="Theinhardt Bold"/>
          <w:b/>
          <w:bCs/>
          <w:color w:val="0C1C23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au</w:t>
      </w:r>
      <w:r>
        <w:rPr>
          <w:rFonts w:ascii="Theinhardt Bold" w:eastAsia="Theinhardt Bold" w:hAnsi="Theinhardt Bold" w:cs="Theinhardt Bold"/>
          <w:b/>
          <w:bCs/>
          <w:color w:val="0C1C23"/>
          <w:spacing w:val="1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plus</w:t>
      </w:r>
      <w:r>
        <w:rPr>
          <w:rFonts w:ascii="Theinhardt Bold" w:eastAsia="Theinhardt Bold" w:hAnsi="Theinhardt Bold" w:cs="Theinhardt Bold"/>
          <w:b/>
          <w:bCs/>
          <w:color w:val="0C1C23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bas.</w:t>
      </w:r>
      <w:r>
        <w:rPr>
          <w:rFonts w:ascii="Theinhardt Bold" w:eastAsia="Theinhardt Bold" w:hAnsi="Theinhardt Bold" w:cs="Theinhardt Bold"/>
          <w:b/>
          <w:bCs/>
          <w:color w:val="0C1C23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Sur</w:t>
      </w:r>
      <w:r>
        <w:rPr>
          <w:rFonts w:ascii="Theinhardt Bold" w:eastAsia="Theinhardt Bold" w:hAnsi="Theinhardt Bold" w:cs="Theinhardt Bold"/>
          <w:b/>
          <w:bCs/>
          <w:color w:val="0C1C23"/>
          <w:spacing w:val="3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les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toits,</w:t>
      </w:r>
      <w:r>
        <w:rPr>
          <w:rFonts w:ascii="Theinhardt Bold" w:eastAsia="Theinhardt Bold" w:hAnsi="Theinhardt Bold" w:cs="Theinhardt Bold"/>
          <w:b/>
          <w:bCs/>
          <w:color w:val="0C1C23"/>
          <w:spacing w:val="-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l’installation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1"/>
          <w:sz w:val="18"/>
          <w:szCs w:val="18"/>
        </w:rPr>
        <w:t>PV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50,7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orientée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est-ouest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génère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43’300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kWh/a,</w:t>
      </w:r>
      <w:r>
        <w:rPr>
          <w:rFonts w:ascii="Theinhardt Bold" w:eastAsia="Theinhardt Bold" w:hAnsi="Theinhardt Bold" w:cs="Theinhardt Bold"/>
          <w:b/>
          <w:bCs/>
          <w:color w:val="0C1C23"/>
          <w:spacing w:val="-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soit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une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autopro-</w:t>
      </w:r>
      <w:r>
        <w:rPr>
          <w:rFonts w:ascii="Theinhardt Bold" w:eastAsia="Theinhardt Bold" w:hAnsi="Theinhardt Bold" w:cs="Theinhardt Bold"/>
          <w:b/>
          <w:bCs/>
          <w:color w:val="0C1C23"/>
          <w:spacing w:val="5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duction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157%.</w:t>
      </w:r>
      <w:r>
        <w:rPr>
          <w:rFonts w:ascii="Theinhardt Bold" w:eastAsia="Theinhardt Bold" w:hAnsi="Theinhardt Bold" w:cs="Theinhardt Bold"/>
          <w:b/>
          <w:bCs/>
          <w:color w:val="0C1C23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4"/>
          <w:sz w:val="18"/>
          <w:szCs w:val="18"/>
        </w:rPr>
        <w:t>L’excédent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solaire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15’700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kWh/a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alimente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les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quatre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voitures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électriques</w:t>
      </w:r>
      <w:r>
        <w:rPr>
          <w:rFonts w:ascii="Theinhardt Bold" w:eastAsia="Theinhardt Bold" w:hAnsi="Theinhardt Bold" w:cs="Theinhardt Bold"/>
          <w:b/>
          <w:bCs/>
          <w:color w:val="0C1C23"/>
          <w:spacing w:val="6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0C1C23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familles</w:t>
      </w:r>
      <w:r>
        <w:rPr>
          <w:rFonts w:ascii="Theinhardt Bold" w:eastAsia="Theinhardt Bold" w:hAnsi="Theinhardt Bold" w:cs="Theinhardt Bold"/>
          <w:b/>
          <w:bCs/>
          <w:color w:val="0C1C23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résidentes,</w:t>
      </w:r>
      <w:r>
        <w:rPr>
          <w:rFonts w:ascii="Theinhardt Bold" w:eastAsia="Theinhardt Bold" w:hAnsi="Theinhardt Bold" w:cs="Theinhardt Bold"/>
          <w:b/>
          <w:bCs/>
          <w:color w:val="0C1C23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mais</w:t>
      </w:r>
      <w:r>
        <w:rPr>
          <w:rFonts w:ascii="Theinhardt Bold" w:eastAsia="Theinhardt Bold" w:hAnsi="Theinhardt Bold" w:cs="Theinhardt Bold"/>
          <w:b/>
          <w:bCs/>
          <w:color w:val="0C1C23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permettrait</w:t>
      </w:r>
      <w:r>
        <w:rPr>
          <w:rFonts w:ascii="Theinhardt Bold" w:eastAsia="Theinhardt Bold" w:hAnsi="Theinhardt Bold" w:cs="Theinhardt Bold"/>
          <w:b/>
          <w:bCs/>
          <w:color w:val="0C1C23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encore</w:t>
      </w:r>
      <w:r>
        <w:rPr>
          <w:rFonts w:ascii="Theinhardt Bold" w:eastAsia="Theinhardt Bold" w:hAnsi="Theinhardt Bold" w:cs="Theinhardt Bold"/>
          <w:b/>
          <w:bCs/>
          <w:color w:val="0C1C23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à</w:t>
      </w:r>
      <w:r>
        <w:rPr>
          <w:rFonts w:ascii="Theinhardt Bold" w:eastAsia="Theinhardt Bold" w:hAnsi="Theinhardt Bold" w:cs="Theinhardt Bold"/>
          <w:b/>
          <w:bCs/>
          <w:color w:val="0C1C23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sept</w:t>
      </w:r>
      <w:r>
        <w:rPr>
          <w:rFonts w:ascii="Theinhardt Bold" w:eastAsia="Theinhardt Bold" w:hAnsi="Theinhardt Bold" w:cs="Theinhardt Bold"/>
          <w:b/>
          <w:bCs/>
          <w:color w:val="0C1C23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autres</w:t>
      </w:r>
      <w:r>
        <w:rPr>
          <w:rFonts w:ascii="Theinhardt Bold" w:eastAsia="Theinhardt Bold" w:hAnsi="Theinhardt Bold" w:cs="Theinhardt Bold"/>
          <w:b/>
          <w:bCs/>
          <w:color w:val="0C1C23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e-véhicules</w:t>
      </w:r>
      <w:r>
        <w:rPr>
          <w:rFonts w:ascii="Theinhardt Bold" w:eastAsia="Theinhardt Bold" w:hAnsi="Theinhardt Bold" w:cs="Theinhardt Bold"/>
          <w:b/>
          <w:bCs/>
          <w:color w:val="0C1C23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0C1C23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parcourir</w:t>
      </w:r>
      <w:r>
        <w:rPr>
          <w:rFonts w:ascii="Theinhardt Bold" w:eastAsia="Theinhardt Bold" w:hAnsi="Theinhardt Bold" w:cs="Theinhardt Bold"/>
          <w:b/>
          <w:bCs/>
          <w:color w:val="0C1C23"/>
          <w:spacing w:val="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chacun</w:t>
      </w:r>
      <w:r>
        <w:rPr>
          <w:rFonts w:ascii="Theinhardt Bold" w:eastAsia="Theinhardt Bold" w:hAnsi="Theinhardt Bold" w:cs="Theinhardt Bold"/>
          <w:b/>
          <w:bCs/>
          <w:color w:val="0C1C23"/>
          <w:spacing w:val="5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 xml:space="preserve">12’000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km/a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 xml:space="preserve"> sans émettre de CO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position w:val="-5"/>
          <w:sz w:val="10"/>
          <w:szCs w:val="10"/>
        </w:rPr>
        <w:t>2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.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On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 xml:space="preserve"> éviterait ainsi les 32,3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t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 xml:space="preserve"> de CO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position w:val="-5"/>
          <w:sz w:val="10"/>
          <w:szCs w:val="10"/>
        </w:rPr>
        <w:t>2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position w:val="-5"/>
          <w:sz w:val="10"/>
          <w:szCs w:val="10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dues au trafic.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 xml:space="preserve">Une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fois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 xml:space="preserve"> de</w:t>
      </w:r>
      <w:r>
        <w:rPr>
          <w:rFonts w:ascii="Theinhardt Bold" w:eastAsia="Theinhardt Bold" w:hAnsi="Theinhardt Bold" w:cs="Theinhardt Bold"/>
          <w:b/>
          <w:bCs/>
          <w:color w:val="0C1C23"/>
          <w:spacing w:val="4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plus,</w:t>
      </w:r>
      <w:r>
        <w:rPr>
          <w:rFonts w:ascii="Theinhardt Bold" w:eastAsia="Theinhardt Bold" w:hAnsi="Theinhardt Bold" w:cs="Theinhardt Bold"/>
          <w:b/>
          <w:bCs/>
          <w:color w:val="0C1C23"/>
          <w:spacing w:val="-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très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ef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fi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cace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lotissement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BEP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signé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Homsphere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fait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fi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gure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d’exemple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majeur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dans</w:t>
      </w:r>
      <w:r>
        <w:rPr>
          <w:rFonts w:ascii="Theinhardt Bold" w:eastAsia="Theinhardt Bold" w:hAnsi="Theinhardt Bold" w:cs="Theinhardt Bold"/>
          <w:b/>
          <w:bCs/>
          <w:color w:val="0C1C23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la</w:t>
      </w:r>
      <w:r>
        <w:rPr>
          <w:rFonts w:ascii="Theinhardt Bold" w:eastAsia="Theinhardt Bold" w:hAnsi="Theinhardt Bold" w:cs="Theinhardt Bold"/>
          <w:b/>
          <w:bCs/>
          <w:color w:val="0C1C23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lutte</w:t>
      </w:r>
      <w:r>
        <w:rPr>
          <w:rFonts w:ascii="Theinhardt Bold" w:eastAsia="Theinhardt Bold" w:hAnsi="Theinhardt Bold" w:cs="Theinhardt Bold"/>
          <w:b/>
          <w:bCs/>
          <w:color w:val="0C1C23"/>
          <w:spacing w:val="6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contre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réchauffement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climatique.</w:t>
      </w:r>
    </w:p>
    <w:p w14:paraId="1A1A8B9B" w14:textId="77777777" w:rsidR="008C0A7A" w:rsidRDefault="008C0A7A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8C0A7A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2547" w:space="132"/>
            <w:col w:w="8031"/>
          </w:cols>
        </w:sectPr>
      </w:pPr>
    </w:p>
    <w:p w14:paraId="076A7B66" w14:textId="77777777" w:rsidR="008C0A7A" w:rsidRDefault="008C0A7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B0CB37A" w14:textId="77777777" w:rsidR="008C0A7A" w:rsidRDefault="008C0A7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14E045E" w14:textId="77777777" w:rsidR="008C0A7A" w:rsidRDefault="008C0A7A">
      <w:pPr>
        <w:spacing w:before="9"/>
        <w:rPr>
          <w:rFonts w:ascii="Theinhardt Bold" w:eastAsia="Theinhardt Bold" w:hAnsi="Theinhardt Bold" w:cs="Theinhardt Bold"/>
          <w:b/>
          <w:bCs/>
          <w:sz w:val="28"/>
          <w:szCs w:val="28"/>
        </w:rPr>
      </w:pPr>
    </w:p>
    <w:p w14:paraId="390A7B11" w14:textId="77777777" w:rsidR="008C0A7A" w:rsidRDefault="00953CA7">
      <w:pPr>
        <w:spacing w:before="5"/>
        <w:ind w:left="106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pacing w:val="1"/>
          <w:sz w:val="40"/>
        </w:rPr>
        <w:t>Lotissement</w:t>
      </w:r>
      <w:r>
        <w:rPr>
          <w:rFonts w:ascii="Theinhardt Black" w:hAns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4"/>
          <w:sz w:val="40"/>
        </w:rPr>
        <w:t>BEP</w:t>
      </w:r>
      <w:r>
        <w:rPr>
          <w:rFonts w:ascii="Theinhardt Black" w:hAns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4"/>
          <w:sz w:val="40"/>
        </w:rPr>
        <w:t>157%,</w:t>
      </w:r>
      <w:r>
        <w:rPr>
          <w:rFonts w:ascii="Theinhardt Black" w:hAnsi="Theinhardt Black"/>
          <w:b/>
          <w:color w:val="0067B1"/>
          <w:spacing w:val="-33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3"/>
          <w:sz w:val="40"/>
        </w:rPr>
        <w:t>1226</w:t>
      </w:r>
      <w:r>
        <w:rPr>
          <w:rFonts w:ascii="Theinhardt Black" w:hAnsi="Theinhardt Black"/>
          <w:b/>
          <w:color w:val="0067B1"/>
          <w:spacing w:val="-32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3"/>
          <w:sz w:val="40"/>
        </w:rPr>
        <w:t>Thônex</w:t>
      </w:r>
      <w:r>
        <w:rPr>
          <w:rFonts w:ascii="Theinhardt Black" w:hAns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4"/>
          <w:sz w:val="40"/>
        </w:rPr>
        <w:t>(GE)</w:t>
      </w:r>
    </w:p>
    <w:p w14:paraId="62200ABF" w14:textId="77777777" w:rsidR="008C0A7A" w:rsidRDefault="008C0A7A">
      <w:pPr>
        <w:spacing w:before="5"/>
        <w:rPr>
          <w:rFonts w:ascii="Theinhardt Black" w:eastAsia="Theinhardt Black" w:hAnsi="Theinhardt Black" w:cs="Theinhardt Black"/>
          <w:b/>
          <w:bCs/>
        </w:rPr>
      </w:pPr>
    </w:p>
    <w:p w14:paraId="02493DD9" w14:textId="77777777" w:rsidR="008C0A7A" w:rsidRDefault="008C0A7A">
      <w:pPr>
        <w:rPr>
          <w:rFonts w:ascii="Theinhardt Black" w:eastAsia="Theinhardt Black" w:hAnsi="Theinhardt Black" w:cs="Theinhardt Black"/>
        </w:rPr>
        <w:sectPr w:rsidR="008C0A7A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4ED655FE" w14:textId="77777777" w:rsidR="008C0A7A" w:rsidRDefault="00953CA7">
      <w:pPr>
        <w:pStyle w:val="Textkrper"/>
        <w:spacing w:before="71" w:line="230" w:lineRule="exact"/>
        <w:ind w:left="114" w:right="8" w:firstLine="0"/>
        <w:jc w:val="both"/>
      </w:pPr>
      <w:r>
        <w:rPr>
          <w:color w:val="231F20"/>
          <w:spacing w:val="-6"/>
        </w:rPr>
        <w:t>Le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6"/>
        </w:rPr>
        <w:t>lotissement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érigé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2020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Thônex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7"/>
        </w:rPr>
        <w:t>(GE)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6"/>
        </w:rPr>
        <w:t>comprend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quatre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villas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contiguës.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Grâce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une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7"/>
        </w:rPr>
        <w:t>remarquable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isolation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thermique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33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38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6"/>
        </w:rPr>
        <w:t>cm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7"/>
        </w:rPr>
        <w:t>d’épaisseur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et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des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valeurs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0,09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0,10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0"/>
        </w:rPr>
        <w:t>W/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3"/>
        </w:rPr>
        <w:t>m</w:t>
      </w:r>
      <w:r>
        <w:rPr>
          <w:color w:val="231F20"/>
          <w:spacing w:val="-3"/>
          <w:position w:val="6"/>
          <w:sz w:val="10"/>
          <w:szCs w:val="10"/>
        </w:rPr>
        <w:t>2</w:t>
      </w:r>
      <w:r>
        <w:rPr>
          <w:color w:val="231F20"/>
          <w:spacing w:val="-3"/>
        </w:rPr>
        <w:t>K,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il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ne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6"/>
        </w:rPr>
        <w:t>consomme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au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5"/>
        </w:rPr>
        <w:t>total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6"/>
        </w:rPr>
        <w:t>27’600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7"/>
        </w:rPr>
        <w:t>kWh/a.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L’installation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PV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50,7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kW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6"/>
        </w:rPr>
        <w:t>orientée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6"/>
        </w:rPr>
        <w:t>est-ouest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génère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43’300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7"/>
        </w:rPr>
        <w:t>kWh/a,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qui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assure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au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Bâtiment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Énergie Positive </w:t>
      </w:r>
      <w:r>
        <w:rPr>
          <w:color w:val="231F20"/>
          <w:spacing w:val="-5"/>
        </w:rPr>
        <w:t>(BEP)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</w:rPr>
        <w:t>genevois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une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autoproduction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157%.</w:t>
      </w:r>
    </w:p>
    <w:p w14:paraId="0FADD8E8" w14:textId="77777777" w:rsidR="008C0A7A" w:rsidRDefault="00953CA7">
      <w:pPr>
        <w:pStyle w:val="Textkrper"/>
        <w:spacing w:before="20" w:line="225" w:lineRule="auto"/>
        <w:jc w:val="both"/>
      </w:pPr>
      <w:r>
        <w:rPr>
          <w:color w:val="231F20"/>
          <w:spacing w:val="-7"/>
        </w:rPr>
        <w:t>Pour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Sébastien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Bouvet,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Homsphere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SA,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5"/>
        </w:rPr>
        <w:t>utiliser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7"/>
        </w:rPr>
        <w:t>l’énergie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6"/>
        </w:rPr>
        <w:t>solaire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était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une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6"/>
        </w:rPr>
        <w:t>évidence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6"/>
        </w:rPr>
        <w:t>en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2020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déjà.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remplaçant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l’électricité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domesti-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que,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elle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réduit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les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émissions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CO</w:t>
      </w:r>
      <w:r>
        <w:rPr>
          <w:color w:val="231F20"/>
          <w:spacing w:val="-4"/>
          <w:position w:val="-5"/>
          <w:sz w:val="10"/>
          <w:szCs w:val="10"/>
        </w:rPr>
        <w:t>2</w:t>
      </w:r>
      <w:r>
        <w:rPr>
          <w:color w:val="231F20"/>
          <w:spacing w:val="3"/>
          <w:position w:val="-5"/>
          <w:sz w:val="10"/>
          <w:szCs w:val="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535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g/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</w:rPr>
        <w:t>kWh,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soit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>l’équivalent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14,7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6"/>
        </w:rPr>
        <w:t>échangeant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les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véhicules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essence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ou</w:t>
      </w:r>
      <w:r>
        <w:rPr>
          <w:color w:val="231F20"/>
          <w:spacing w:val="-5"/>
        </w:rPr>
        <w:t xml:space="preserve"> diesel </w:t>
      </w:r>
      <w:proofErr w:type="gramStart"/>
      <w:r>
        <w:rPr>
          <w:color w:val="231F20"/>
          <w:spacing w:val="-4"/>
        </w:rPr>
        <w:t>par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mo-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dèles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électriques,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abaisse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encore</w:t>
      </w:r>
      <w:r>
        <w:rPr>
          <w:color w:val="231F20"/>
          <w:spacing w:val="-4"/>
        </w:rPr>
        <w:t xml:space="preserve"> les </w:t>
      </w:r>
      <w:r>
        <w:rPr>
          <w:color w:val="231F20"/>
          <w:spacing w:val="-5"/>
        </w:rPr>
        <w:t>émis-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5"/>
        </w:rPr>
        <w:t>sions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CO</w:t>
      </w:r>
      <w:r>
        <w:rPr>
          <w:color w:val="231F20"/>
          <w:spacing w:val="-4"/>
          <w:position w:val="-5"/>
          <w:sz w:val="10"/>
          <w:szCs w:val="10"/>
        </w:rPr>
        <w:t>2</w:t>
      </w:r>
      <w:r>
        <w:rPr>
          <w:color w:val="231F20"/>
          <w:spacing w:val="9"/>
          <w:position w:val="-5"/>
          <w:sz w:val="10"/>
          <w:szCs w:val="10"/>
        </w:rPr>
        <w:t xml:space="preserve"> </w:t>
      </w:r>
      <w:r>
        <w:rPr>
          <w:color w:val="231F20"/>
          <w:spacing w:val="-5"/>
        </w:rPr>
        <w:t>dues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trafi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8"/>
        </w:rPr>
        <w:t>d’environ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32,3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(cf.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6"/>
        </w:rPr>
        <w:t>considérations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jury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p.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36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ss.).</w:t>
      </w:r>
    </w:p>
    <w:p w14:paraId="1B66E86B" w14:textId="77777777" w:rsidR="008C0A7A" w:rsidRDefault="00953CA7">
      <w:pPr>
        <w:pStyle w:val="Textkrper"/>
        <w:spacing w:before="2" w:line="232" w:lineRule="auto"/>
        <w:ind w:left="114" w:right="8"/>
        <w:jc w:val="both"/>
      </w:pPr>
      <w:r>
        <w:rPr>
          <w:color w:val="231F20"/>
          <w:spacing w:val="-5"/>
        </w:rPr>
        <w:t>Comme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pour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lotissement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BEP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151%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5"/>
        </w:rPr>
        <w:t>pri-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mé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2020,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Sébastien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Bouvet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6"/>
        </w:rPr>
        <w:t>démontre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nouveau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stratégie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associant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bâtiment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6"/>
        </w:rPr>
        <w:t>énergie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positive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et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électromobilité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est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exemp-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6"/>
        </w:rPr>
        <w:t>laire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au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niveau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</w:rPr>
        <w:t>énergétique, écologique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et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cli-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6"/>
        </w:rPr>
        <w:t>matique.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Elle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assure</w:t>
      </w:r>
      <w:r>
        <w:rPr>
          <w:color w:val="231F20"/>
          <w:spacing w:val="-3"/>
        </w:rPr>
        <w:t xml:space="preserve"> en </w:t>
      </w:r>
      <w:r>
        <w:rPr>
          <w:color w:val="231F20"/>
          <w:spacing w:val="-6"/>
        </w:rPr>
        <w:t>outre</w:t>
      </w:r>
      <w:r>
        <w:rPr>
          <w:color w:val="231F20"/>
          <w:spacing w:val="-3"/>
        </w:rPr>
        <w:t xml:space="preserve"> un </w:t>
      </w:r>
      <w:r>
        <w:rPr>
          <w:color w:val="231F20"/>
          <w:spacing w:val="-6"/>
        </w:rPr>
        <w:t>maximum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confort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vie.</w:t>
      </w:r>
    </w:p>
    <w:p w14:paraId="55EF03D2" w14:textId="77777777" w:rsidR="008C0A7A" w:rsidRDefault="00953CA7">
      <w:pPr>
        <w:pStyle w:val="Textkrper"/>
        <w:spacing w:before="4" w:line="226" w:lineRule="auto"/>
        <w:jc w:val="both"/>
      </w:pPr>
      <w:r>
        <w:rPr>
          <w:color w:val="231F20"/>
          <w:spacing w:val="-3"/>
        </w:rPr>
        <w:t>Si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7"/>
        </w:rPr>
        <w:t>l’on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tient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6"/>
        </w:rPr>
        <w:t>compte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6"/>
        </w:rPr>
        <w:t>qu’une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6"/>
        </w:rPr>
        <w:t>voiture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5"/>
        </w:rPr>
        <w:t>élec-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5"/>
        </w:rPr>
        <w:t>trique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utilise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moyenne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1’400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kWh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pour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par-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courir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5"/>
        </w:rPr>
        <w:t>12’</w:t>
      </w:r>
      <w:proofErr w:type="gramStart"/>
      <w:r>
        <w:rPr>
          <w:color w:val="231F20"/>
          <w:spacing w:val="-5"/>
        </w:rPr>
        <w:t>000</w:t>
      </w:r>
      <w:r>
        <w:rPr>
          <w:color w:val="231F20"/>
        </w:rPr>
        <w:t xml:space="preserve">  </w:t>
      </w:r>
      <w:r>
        <w:rPr>
          <w:color w:val="231F20"/>
          <w:spacing w:val="-7"/>
        </w:rPr>
        <w:t>km</w:t>
      </w:r>
      <w:proofErr w:type="gramEnd"/>
      <w:r>
        <w:rPr>
          <w:color w:val="231F20"/>
          <w:spacing w:val="-7"/>
        </w:rPr>
        <w:t>/a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5"/>
        </w:rPr>
        <w:t>sans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5"/>
        </w:rPr>
        <w:t>émettre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4"/>
        </w:rPr>
        <w:t>CO</w:t>
      </w:r>
      <w:r>
        <w:rPr>
          <w:color w:val="231F20"/>
          <w:spacing w:val="-4"/>
          <w:position w:val="-5"/>
          <w:sz w:val="10"/>
          <w:szCs w:val="10"/>
        </w:rPr>
        <w:t>2</w:t>
      </w:r>
      <w:r>
        <w:rPr>
          <w:color w:val="231F20"/>
          <w:spacing w:val="-4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7"/>
        </w:rPr>
        <w:t>l’excédent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solaire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du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lotissement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5"/>
        </w:rPr>
        <w:t>BEP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suffi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ait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6"/>
        </w:rPr>
        <w:t>alimenter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onze.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chiffre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6"/>
        </w:rPr>
        <w:t>pourrait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6"/>
        </w:rPr>
        <w:t>même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5"/>
        </w:rPr>
        <w:t>passer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dix-huit,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car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les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quatre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voitures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élec-</w:t>
      </w:r>
    </w:p>
    <w:p w14:paraId="4D727CE9" w14:textId="77777777" w:rsidR="008C0A7A" w:rsidRDefault="00953CA7">
      <w:pPr>
        <w:spacing w:before="71" w:line="230" w:lineRule="exact"/>
        <w:ind w:left="113" w:right="2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2020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in</w:t>
      </w:r>
      <w:r>
        <w:rPr>
          <w:rFonts w:ascii="Theinhardt Regular Italic" w:hAnsi="Theinhardt Regular Italic"/>
          <w:i/>
          <w:color w:val="231F20"/>
          <w:spacing w:val="-1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Thônex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erstellte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Neubausiedlung</w:t>
      </w:r>
      <w:r>
        <w:rPr>
          <w:rFonts w:ascii="Theinhardt Regular Italic" w:hAnsi="Theinhardt Regular Italic"/>
          <w:i/>
          <w:color w:val="231F20"/>
          <w:spacing w:val="4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besteht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aus</w:t>
      </w:r>
      <w:r>
        <w:rPr>
          <w:rFonts w:ascii="Theinhardt Regular Italic" w:hAnsi="Theinhardt Regular Italic"/>
          <w:i/>
          <w:color w:val="231F20"/>
          <w:spacing w:val="2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vier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zusammengebauten</w:t>
      </w:r>
      <w:r>
        <w:rPr>
          <w:rFonts w:ascii="Theinhardt Regular Italic" w:hAnsi="Theinhardt Regular Italic"/>
          <w:i/>
          <w:color w:val="231F20"/>
          <w:spacing w:val="2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Wohn-</w:t>
      </w:r>
      <w:r>
        <w:rPr>
          <w:rFonts w:ascii="Theinhardt Regular Italic" w:hAnsi="Theinhardt Regular Italic"/>
          <w:i/>
          <w:color w:val="231F20"/>
          <w:spacing w:val="3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häusern.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Dank</w:t>
      </w:r>
      <w:r>
        <w:rPr>
          <w:rFonts w:ascii="Theinhardt Regular Italic" w:hAnsi="Theinhardt Regular Italic"/>
          <w:i/>
          <w:color w:val="231F20"/>
          <w:spacing w:val="3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der</w:t>
      </w:r>
      <w:r>
        <w:rPr>
          <w:rFonts w:ascii="Theinhardt Regular Italic" w:hAnsi="Theinhardt Regular Italic"/>
          <w:i/>
          <w:color w:val="231F20"/>
          <w:spacing w:val="3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sehr</w:t>
      </w:r>
      <w:r>
        <w:rPr>
          <w:rFonts w:ascii="Theinhardt Regular Italic" w:hAnsi="Theinhardt Regular Italic"/>
          <w:i/>
          <w:color w:val="231F20"/>
          <w:spacing w:val="3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guten</w:t>
      </w:r>
      <w:r>
        <w:rPr>
          <w:rFonts w:ascii="Theinhardt Regular Italic" w:hAnsi="Theinhardt Regular Italic"/>
          <w:i/>
          <w:color w:val="231F20"/>
          <w:spacing w:val="3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Wärmedäm-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mung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mit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33-38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cm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und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U-Werten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von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0.09-</w:t>
      </w:r>
    </w:p>
    <w:p w14:paraId="3C2EC685" w14:textId="77777777" w:rsidR="008C0A7A" w:rsidRDefault="00953CA7">
      <w:pPr>
        <w:spacing w:before="15" w:line="232" w:lineRule="auto"/>
        <w:ind w:left="113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0.10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W/m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K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ist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Energieverbrauch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Siedlung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27’600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relativ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niedrig.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>50.7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kW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starke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Ost-West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ausgerichtete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PV-Anlage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produziert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jährlich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43’300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kWh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Strom.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Somit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erreicht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diese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Genfer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PlusEner-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gieBau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(PEB)-Siedlung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eine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Eigenenergiever-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sorgung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von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157%.</w:t>
      </w:r>
    </w:p>
    <w:p w14:paraId="6982A7EB" w14:textId="77777777" w:rsidR="008C0A7A" w:rsidRDefault="00953CA7">
      <w:pPr>
        <w:spacing w:before="3" w:line="227" w:lineRule="auto"/>
        <w:ind w:left="113" w:right="2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Sébastien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Bouvet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von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Homsphere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dif-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ferenzierte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bereits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2020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Solarstromein-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satz.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Substituiert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Solarstrom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Haus-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haltsstrom,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können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535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g/kWh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≈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14.7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CO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position w:val="-5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-Emissionen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reduziert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werden.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Werden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Diesel-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oder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Benzin-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durch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E-Fahrzeuge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er-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setzt,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sinken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Verkehrsemissionen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≈</w:t>
      </w:r>
    </w:p>
    <w:p w14:paraId="5470C6C6" w14:textId="77777777" w:rsidR="008C0A7A" w:rsidRDefault="00953CA7">
      <w:pPr>
        <w:spacing w:before="21" w:line="204" w:lineRule="auto"/>
        <w:ind w:left="340" w:right="4" w:hanging="227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2"/>
          <w:sz w:val="18"/>
        </w:rPr>
        <w:t>32.3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t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CO</w:t>
      </w:r>
      <w:r>
        <w:rPr>
          <w:rFonts w:ascii="Theinhardt Regular Italic" w:hAnsi="Theinhardt Regular Italic"/>
          <w:i/>
          <w:color w:val="231F20"/>
          <w:spacing w:val="-2"/>
          <w:position w:val="-5"/>
          <w:sz w:val="10"/>
        </w:rPr>
        <w:t>2</w:t>
      </w:r>
      <w:r>
        <w:rPr>
          <w:rFonts w:ascii="Theinhardt Regular Italic" w:hAnsi="Theinhardt Regular Italic"/>
          <w:i/>
          <w:color w:val="231F20"/>
          <w:spacing w:val="19"/>
          <w:position w:val="-5"/>
          <w:sz w:val="10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(vgl.</w:t>
      </w:r>
      <w:r>
        <w:rPr>
          <w:rFonts w:ascii="Theinhardt Regular Italic" w:hAnsi="Theinhardt Regular Italic"/>
          <w:i/>
          <w:color w:val="231F20"/>
          <w:spacing w:val="-1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Erwägungen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 xml:space="preserve">der </w:t>
      </w:r>
      <w:r>
        <w:rPr>
          <w:rFonts w:ascii="Theinhardt Regular Italic" w:hAnsi="Theinhardt Regular Italic"/>
          <w:i/>
          <w:color w:val="231F20"/>
          <w:sz w:val="18"/>
        </w:rPr>
        <w:t>Jury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S.36).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Wie</w:t>
      </w:r>
      <w:r>
        <w:rPr>
          <w:rFonts w:ascii="Theinhardt Regular Italic" w:hAnsi="Theinhardt Regular Italic"/>
          <w:i/>
          <w:color w:val="231F20"/>
          <w:spacing w:val="-1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-1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2020</w:t>
      </w:r>
      <w:r>
        <w:rPr>
          <w:rFonts w:ascii="Theinhardt Regular Italic" w:hAnsi="Theinhardt Regular Italic"/>
          <w:i/>
          <w:color w:val="231F20"/>
          <w:spacing w:val="-1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ausgezeichnete</w:t>
      </w:r>
      <w:r>
        <w:rPr>
          <w:rFonts w:ascii="Theinhardt Regular Italic" w:hAnsi="Theinhardt Regular Italic"/>
          <w:i/>
          <w:color w:val="231F20"/>
          <w:spacing w:val="-1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151%-PEB-</w:t>
      </w:r>
    </w:p>
    <w:p w14:paraId="0586830F" w14:textId="77777777" w:rsidR="008C0A7A" w:rsidRDefault="00953CA7">
      <w:pPr>
        <w:spacing w:before="7" w:line="232" w:lineRule="auto"/>
        <w:ind w:left="114" w:right="2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3"/>
          <w:sz w:val="18"/>
        </w:rPr>
        <w:t>Siedlung,</w:t>
      </w:r>
      <w:r>
        <w:rPr>
          <w:rFonts w:ascii="Theinhardt Regular Italic" w:hAnsi="Theinhardt Regular Italic"/>
          <w:i/>
          <w:color w:val="231F20"/>
          <w:spacing w:val="-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zeigt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Bouvet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2021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erneut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auf,</w:t>
      </w:r>
      <w:r>
        <w:rPr>
          <w:rFonts w:ascii="Theinhardt Regular Italic" w:hAnsi="Theinhardt Regular Italic"/>
          <w:i/>
          <w:color w:val="231F20"/>
          <w:spacing w:val="-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dass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PEB-E-Mobilität-Strategie</w:t>
      </w:r>
      <w:r>
        <w:rPr>
          <w:rFonts w:ascii="Theinhardt Regular Italic" w:hAnsi="Theinhardt Regular Italic"/>
          <w:i/>
          <w:color w:val="231F20"/>
          <w:spacing w:val="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nicht</w:t>
      </w:r>
      <w:r>
        <w:rPr>
          <w:rFonts w:ascii="Theinhardt Regular Italic" w:hAnsi="Theinhardt Regular Italic"/>
          <w:i/>
          <w:color w:val="231F20"/>
          <w:spacing w:val="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nur</w:t>
      </w:r>
      <w:r>
        <w:rPr>
          <w:rFonts w:ascii="Theinhardt Regular Italic" w:hAnsi="Theinhardt Regular Italic"/>
          <w:i/>
          <w:color w:val="231F20"/>
          <w:spacing w:val="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ener-</w:t>
      </w:r>
      <w:r>
        <w:rPr>
          <w:rFonts w:ascii="Theinhardt Regular Italic" w:hAnsi="Theinhardt Regular Italic"/>
          <w:i/>
          <w:color w:val="231F20"/>
          <w:spacing w:val="6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getisch,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ökologisch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und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klimatisch</w:t>
      </w:r>
      <w:r>
        <w:rPr>
          <w:rFonts w:ascii="Theinhardt Regular Italic" w:hAnsi="Theinhardt Regular Italic"/>
          <w:i/>
          <w:color w:val="231F20"/>
          <w:spacing w:val="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vorbildlich</w:t>
      </w:r>
      <w:r>
        <w:rPr>
          <w:rFonts w:ascii="Theinhardt Regular Italic" w:hAnsi="Theinhardt Regular Italic"/>
          <w:i/>
          <w:color w:val="231F20"/>
          <w:spacing w:val="4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ist.</w:t>
      </w:r>
      <w:r>
        <w:rPr>
          <w:rFonts w:ascii="Theinhardt Regular Italic" w:hAnsi="Theinhardt Regular Italic"/>
          <w:i/>
          <w:color w:val="231F20"/>
          <w:spacing w:val="-1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Sie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ist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auch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sehr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komfortabel.</w:t>
      </w:r>
    </w:p>
    <w:p w14:paraId="145E83DC" w14:textId="77777777" w:rsidR="008C0A7A" w:rsidRDefault="00953CA7">
      <w:pPr>
        <w:spacing w:line="232" w:lineRule="auto"/>
        <w:ind w:left="113" w:right="2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Auf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Basis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Durchschnittsverbrauchs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eines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E-Autos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von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1’400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kWh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für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12’000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pro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Jahr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können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Solarstromüber-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schuss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insgesamt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11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E-Autos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jährlich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12’000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emissionsfrei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fahren.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In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vergangenen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12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Monaten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bezogen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vier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E-Autos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bloss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3’499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kWh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Solarstrom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oder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durchschnittlich</w:t>
      </w:r>
    </w:p>
    <w:p w14:paraId="08F54540" w14:textId="77777777" w:rsidR="008C0A7A" w:rsidRDefault="00953CA7">
      <w:pPr>
        <w:spacing w:before="67"/>
        <w:ind w:left="113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r>
        <w:rPr>
          <w:rFonts w:ascii="Theinhardt Black" w:hAnsi="Theinhardt Black"/>
          <w:b/>
          <w:color w:val="231F20"/>
          <w:spacing w:val="1"/>
          <w:sz w:val="14"/>
        </w:rPr>
        <w:t>Données</w:t>
      </w:r>
      <w:r>
        <w:rPr>
          <w:rFonts w:ascii="Theinhardt Black" w:hAnsi="Theinhardt Black"/>
          <w:b/>
          <w:color w:val="231F20"/>
          <w:sz w:val="14"/>
        </w:rPr>
        <w:t xml:space="preserve"> techniques</w:t>
      </w:r>
    </w:p>
    <w:p w14:paraId="446E4FD0" w14:textId="77777777" w:rsidR="008C0A7A" w:rsidRDefault="008C0A7A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56F8B4CE" w14:textId="77777777" w:rsidR="008C0A7A" w:rsidRDefault="00953CA7">
      <w:pPr>
        <w:spacing w:line="20" w:lineRule="atLeast"/>
        <w:ind w:left="113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4A86BD46">
          <v:group id="_x0000_s1037" style="width:167.25pt;height:.45pt;mso-position-horizontal-relative:char;mso-position-vertical-relative:line" coordsize="3345,9">
            <v:group id="_x0000_s1042" style="position:absolute;left:21;top:4;width:3311;height:2" coordorigin="21,4" coordsize="3311,2">
              <v:shape id="_x0000_s1043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0" style="position:absolute;left:4;top:4;width:2;height:2" coordorigin="4,4" coordsize="2,2">
              <v:shape id="_x0000_s1041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8" style="position:absolute;left:3341;top:4;width:2;height:2" coordorigin="3341,4" coordsize="2,2">
              <v:shape id="_x0000_s1039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1E3D1F4D" w14:textId="77777777" w:rsidR="008C0A7A" w:rsidRDefault="00953CA7">
      <w:pPr>
        <w:spacing w:before="20" w:line="172" w:lineRule="exact"/>
        <w:ind w:left="113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Isolation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thermique</w:t>
      </w:r>
    </w:p>
    <w:p w14:paraId="29E685FF" w14:textId="77777777" w:rsidR="008C0A7A" w:rsidRDefault="00953CA7">
      <w:pPr>
        <w:tabs>
          <w:tab w:val="left" w:pos="1198"/>
          <w:tab w:val="left" w:pos="2648"/>
        </w:tabs>
        <w:spacing w:line="160" w:lineRule="exact"/>
        <w:ind w:left="113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Mur: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 xml:space="preserve">36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 xml:space="preserve">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>Valeur U:</w:t>
      </w:r>
      <w:r>
        <w:rPr>
          <w:rFonts w:ascii="Theinhardt Regular"/>
          <w:color w:val="231F20"/>
          <w:sz w:val="14"/>
        </w:rPr>
        <w:tab/>
        <w:t xml:space="preserve">0.09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0BAF43E2" w14:textId="77777777" w:rsidR="008C0A7A" w:rsidRDefault="00953CA7">
      <w:pPr>
        <w:tabs>
          <w:tab w:val="left" w:pos="1198"/>
          <w:tab w:val="left" w:pos="2648"/>
        </w:tabs>
        <w:spacing w:line="160" w:lineRule="exact"/>
        <w:ind w:left="113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Toit:</w:t>
      </w:r>
      <w:r>
        <w:rPr>
          <w:rFonts w:ascii="Theinhardt Regular"/>
          <w:color w:val="231F20"/>
          <w:spacing w:val="-1"/>
          <w:sz w:val="14"/>
        </w:rPr>
        <w:tab/>
      </w:r>
      <w:r>
        <w:rPr>
          <w:rFonts w:ascii="Theinhardt Regular"/>
          <w:color w:val="231F20"/>
          <w:sz w:val="14"/>
        </w:rPr>
        <w:t xml:space="preserve">38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 xml:space="preserve">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>Valeur U:</w:t>
      </w:r>
      <w:r>
        <w:rPr>
          <w:rFonts w:ascii="Theinhardt Regular"/>
          <w:color w:val="231F20"/>
          <w:sz w:val="14"/>
        </w:rPr>
        <w:tab/>
        <w:t xml:space="preserve">0.09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5DCBEA13" w14:textId="77777777" w:rsidR="008C0A7A" w:rsidRDefault="00953CA7">
      <w:pPr>
        <w:tabs>
          <w:tab w:val="left" w:pos="1198"/>
          <w:tab w:val="left" w:pos="2653"/>
        </w:tabs>
        <w:spacing w:before="5" w:line="207" w:lineRule="auto"/>
        <w:ind w:left="113" w:right="15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Sol:</w:t>
      </w:r>
      <w:r>
        <w:rPr>
          <w:rFonts w:ascii="Theinhardt Regular" w:hAnsi="Theinhardt Regular"/>
          <w:color w:val="231F20"/>
          <w:spacing w:val="1"/>
          <w:sz w:val="14"/>
        </w:rPr>
        <w:tab/>
      </w:r>
      <w:r>
        <w:rPr>
          <w:rFonts w:ascii="Theinhardt Regular" w:hAnsi="Theinhardt Regular"/>
          <w:color w:val="231F20"/>
          <w:sz w:val="14"/>
        </w:rPr>
        <w:t xml:space="preserve">33 </w:t>
      </w:r>
      <w:r>
        <w:rPr>
          <w:rFonts w:ascii="Theinhardt Regular" w:hAnsi="Theinhardt Regular"/>
          <w:color w:val="231F20"/>
          <w:spacing w:val="1"/>
          <w:sz w:val="14"/>
        </w:rPr>
        <w:t>cm</w:t>
      </w:r>
      <w:r>
        <w:rPr>
          <w:rFonts w:ascii="Theinhardt Regular" w:hAnsi="Theinhardt Regular"/>
          <w:color w:val="231F20"/>
          <w:sz w:val="14"/>
        </w:rPr>
        <w:t xml:space="preserve">  </w:t>
      </w:r>
      <w:r>
        <w:rPr>
          <w:rFonts w:ascii="Theinhardt Regular" w:hAnsi="Theinhardt Regular"/>
          <w:color w:val="231F20"/>
          <w:spacing w:val="14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Valeur U:</w:t>
      </w:r>
      <w:r>
        <w:rPr>
          <w:rFonts w:ascii="Theinhardt Regular" w:hAnsi="Theinhardt Regular"/>
          <w:color w:val="231F20"/>
          <w:sz w:val="14"/>
        </w:rPr>
        <w:tab/>
      </w:r>
      <w:r>
        <w:rPr>
          <w:rFonts w:ascii="Theinhardt Regular" w:hAnsi="Theinhardt Regular"/>
          <w:color w:val="231F20"/>
          <w:spacing w:val="-5"/>
          <w:sz w:val="14"/>
        </w:rPr>
        <w:t>0.10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W/m</w:t>
      </w:r>
      <w:r>
        <w:rPr>
          <w:rFonts w:ascii="Theinhardt Regular" w:hAns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 w:hAnsi="Theinhardt Regular"/>
          <w:color w:val="231F20"/>
          <w:spacing w:val="-2"/>
          <w:sz w:val="14"/>
        </w:rPr>
        <w:t>K</w:t>
      </w:r>
      <w:r>
        <w:rPr>
          <w:rFonts w:ascii="Theinhardt Regular" w:hAnsi="Theinhardt Regular"/>
          <w:color w:val="231F20"/>
          <w:spacing w:val="28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Fenêtre:</w:t>
      </w:r>
      <w:r>
        <w:rPr>
          <w:rFonts w:ascii="Theinhardt Regular" w:hAnsi="Theinhardt Regular"/>
          <w:color w:val="231F20"/>
          <w:sz w:val="14"/>
        </w:rPr>
        <w:t xml:space="preserve">   </w:t>
      </w:r>
      <w:r>
        <w:rPr>
          <w:rFonts w:ascii="Theinhardt Regular" w:hAnsi="Theinhardt Regular"/>
          <w:color w:val="231F20"/>
          <w:spacing w:val="18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triple-vitrage</w:t>
      </w:r>
      <w:r>
        <w:rPr>
          <w:rFonts w:ascii="Theinhardt Regular" w:hAnsi="Theinhardt Regular"/>
          <w:color w:val="231F20"/>
          <w:sz w:val="14"/>
        </w:rPr>
        <w:t xml:space="preserve">  </w:t>
      </w:r>
      <w:r>
        <w:rPr>
          <w:rFonts w:ascii="Theinhardt Regular" w:hAnsi="Theinhardt Regular"/>
          <w:color w:val="231F20"/>
          <w:spacing w:val="14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Valeur U:</w:t>
      </w:r>
      <w:r>
        <w:rPr>
          <w:rFonts w:ascii="Theinhardt Regular" w:hAnsi="Theinhardt Regular"/>
          <w:color w:val="231F20"/>
          <w:sz w:val="14"/>
        </w:rPr>
        <w:tab/>
      </w:r>
      <w:r>
        <w:rPr>
          <w:rFonts w:ascii="Theinhardt Regular" w:hAnsi="Theinhardt Regular"/>
          <w:color w:val="231F20"/>
          <w:spacing w:val="-1"/>
          <w:sz w:val="14"/>
        </w:rPr>
        <w:t>0.81</w:t>
      </w:r>
      <w:r>
        <w:rPr>
          <w:rFonts w:ascii="Theinhardt Regular" w:hAnsi="Theinhardt Regular"/>
          <w:color w:val="231F20"/>
          <w:spacing w:val="1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W/m</w:t>
      </w:r>
      <w:r>
        <w:rPr>
          <w:rFonts w:ascii="Theinhardt Regular" w:hAns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 w:hAnsi="Theinhardt Regular"/>
          <w:color w:val="231F20"/>
          <w:spacing w:val="-2"/>
          <w:sz w:val="14"/>
        </w:rPr>
        <w:t>K</w:t>
      </w:r>
    </w:p>
    <w:p w14:paraId="72DFC4D9" w14:textId="77777777" w:rsidR="008C0A7A" w:rsidRDefault="008C0A7A">
      <w:pPr>
        <w:spacing w:before="10"/>
        <w:rPr>
          <w:rFonts w:ascii="Theinhardt Regular" w:eastAsia="Theinhardt Regular" w:hAnsi="Theinhardt Regular" w:cs="Theinhardt Regular"/>
          <w:sz w:val="6"/>
          <w:szCs w:val="6"/>
        </w:rPr>
      </w:pPr>
    </w:p>
    <w:tbl>
      <w:tblPr>
        <w:tblStyle w:val="TableNormal"/>
        <w:tblW w:w="0" w:type="auto"/>
        <w:tblInd w:w="58" w:type="dxa"/>
        <w:tblLayout w:type="fixed"/>
        <w:tblLook w:val="01E0" w:firstRow="1" w:lastRow="1" w:firstColumn="1" w:lastColumn="1" w:noHBand="0" w:noVBand="0"/>
      </w:tblPr>
      <w:tblGrid>
        <w:gridCol w:w="1533"/>
        <w:gridCol w:w="751"/>
        <w:gridCol w:w="460"/>
        <w:gridCol w:w="655"/>
      </w:tblGrid>
      <w:tr w:rsidR="008C0A7A" w14:paraId="7F746EC6" w14:textId="77777777">
        <w:trPr>
          <w:trHeight w:hRule="exact" w:val="129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14:paraId="0D8FB2E5" w14:textId="77777777" w:rsidR="008C0A7A" w:rsidRDefault="00953CA7">
            <w:pPr>
              <w:pStyle w:val="TableParagraph"/>
              <w:spacing w:line="129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Besoin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 xml:space="preserve"> </w:t>
            </w: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en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 xml:space="preserve"> </w:t>
            </w: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énergie</w:t>
            </w:r>
          </w:p>
        </w:tc>
        <w:tc>
          <w:tcPr>
            <w:tcW w:w="186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CEAA9F" w14:textId="77777777" w:rsidR="008C0A7A" w:rsidRDefault="008C0A7A"/>
        </w:tc>
      </w:tr>
      <w:tr w:rsidR="008C0A7A" w14:paraId="39AFCECF" w14:textId="77777777">
        <w:trPr>
          <w:trHeight w:hRule="exact" w:val="160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14:paraId="30CA9A0A" w14:textId="77777777" w:rsidR="008C0A7A" w:rsidRDefault="00953CA7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8"/>
                <w:szCs w:val="8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SRE:</w:t>
            </w:r>
            <w:r>
              <w:rPr>
                <w:rFonts w:ascii="Theinhardt Regular"/>
                <w:color w:val="231F20"/>
                <w:sz w:val="14"/>
              </w:rPr>
              <w:t xml:space="preserve"> 788 </w:t>
            </w:r>
            <w:r>
              <w:rPr>
                <w:rFonts w:ascii="Theinhardt Regular"/>
                <w:color w:val="231F20"/>
                <w:spacing w:val="-1"/>
                <w:sz w:val="14"/>
              </w:rPr>
              <w:t>m</w:t>
            </w:r>
            <w:r>
              <w:rPr>
                <w:rFonts w:ascii="Theinhardt Regular"/>
                <w:color w:val="231F20"/>
                <w:spacing w:val="-1"/>
                <w:position w:val="5"/>
                <w:sz w:val="8"/>
              </w:rPr>
              <w:t>2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67845210" w14:textId="77777777" w:rsidR="008C0A7A" w:rsidRDefault="00953CA7">
            <w:pPr>
              <w:pStyle w:val="TableParagraph"/>
              <w:spacing w:line="160" w:lineRule="exact"/>
              <w:ind w:left="108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14:paraId="5A4D273F" w14:textId="77777777" w:rsidR="008C0A7A" w:rsidRDefault="00953CA7">
            <w:pPr>
              <w:pStyle w:val="TableParagraph"/>
              <w:spacing w:line="160" w:lineRule="exact"/>
              <w:ind w:left="193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14:paraId="5CE78A41" w14:textId="77777777" w:rsidR="008C0A7A" w:rsidRDefault="00953CA7">
            <w:pPr>
              <w:pStyle w:val="TableParagraph"/>
              <w:spacing w:line="160" w:lineRule="exact"/>
              <w:ind w:left="19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</w:p>
        </w:tc>
      </w:tr>
      <w:tr w:rsidR="008C0A7A" w14:paraId="6BEC51BA" w14:textId="77777777">
        <w:trPr>
          <w:trHeight w:hRule="exact" w:val="160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14:paraId="289DA3F5" w14:textId="77777777" w:rsidR="008C0A7A" w:rsidRDefault="00953CA7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Electricité</w:t>
            </w:r>
            <w:r>
              <w:rPr>
                <w:rFonts w:ascii="Theinhardt Regular" w:hAnsi="Theinhardt Regular"/>
                <w:color w:val="231F20"/>
                <w:sz w:val="14"/>
              </w:rPr>
              <w:t xml:space="preserve"> PaC: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42A7AFCB" w14:textId="77777777" w:rsidR="008C0A7A" w:rsidRDefault="00953CA7">
            <w:pPr>
              <w:pStyle w:val="TableParagraph"/>
              <w:spacing w:line="160" w:lineRule="exact"/>
              <w:ind w:right="72"/>
              <w:jc w:val="right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14:paraId="360FC4A8" w14:textId="77777777" w:rsidR="008C0A7A" w:rsidRDefault="00953CA7">
            <w:pPr>
              <w:pStyle w:val="TableParagraph"/>
              <w:spacing w:line="160" w:lineRule="exact"/>
              <w:ind w:left="15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5</w:t>
            </w:r>
            <w:r>
              <w:rPr>
                <w:rFonts w:ascii="Theinhardt Regular"/>
                <w:color w:val="231F20"/>
                <w:sz w:val="14"/>
              </w:rPr>
              <w:t>4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14:paraId="15F82691" w14:textId="77777777" w:rsidR="008C0A7A" w:rsidRDefault="00953CA7">
            <w:pPr>
              <w:pStyle w:val="TableParagraph"/>
              <w:spacing w:line="160" w:lineRule="exact"/>
              <w:ind w:left="15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-2"/>
                <w:sz w:val="14"/>
                <w:szCs w:val="14"/>
              </w:rPr>
              <w:t>14’920</w:t>
            </w:r>
          </w:p>
        </w:tc>
      </w:tr>
      <w:tr w:rsidR="008C0A7A" w14:paraId="06622E93" w14:textId="77777777">
        <w:trPr>
          <w:trHeight w:hRule="exact" w:val="160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14:paraId="64085098" w14:textId="77777777" w:rsidR="008C0A7A" w:rsidRDefault="00953CA7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Electricité: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2E08B328" w14:textId="77777777" w:rsidR="008C0A7A" w:rsidRDefault="00953CA7">
            <w:pPr>
              <w:pStyle w:val="TableParagraph"/>
              <w:spacing w:line="160" w:lineRule="exact"/>
              <w:ind w:right="72"/>
              <w:jc w:val="right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4"/>
                <w:sz w:val="14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14:paraId="1ECDDA81" w14:textId="77777777" w:rsidR="008C0A7A" w:rsidRDefault="00953CA7">
            <w:pPr>
              <w:pStyle w:val="TableParagraph"/>
              <w:spacing w:line="160" w:lineRule="exact"/>
              <w:ind w:left="1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46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14:paraId="5A443997" w14:textId="77777777" w:rsidR="008C0A7A" w:rsidRDefault="00953CA7">
            <w:pPr>
              <w:pStyle w:val="TableParagraph"/>
              <w:spacing w:line="160" w:lineRule="exact"/>
              <w:ind w:left="152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pacing w:val="-1"/>
                <w:sz w:val="14"/>
                <w:szCs w:val="14"/>
              </w:rPr>
              <w:t>12’650</w:t>
            </w:r>
          </w:p>
        </w:tc>
      </w:tr>
      <w:tr w:rsidR="008C0A7A" w14:paraId="1CD69CDA" w14:textId="77777777">
        <w:trPr>
          <w:trHeight w:hRule="exact" w:val="201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14:paraId="7FA17346" w14:textId="77777777" w:rsidR="008C0A7A" w:rsidRDefault="00953CA7">
            <w:pPr>
              <w:pStyle w:val="TableParagraph"/>
              <w:spacing w:line="165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hAnsi="Theinhardt Bold"/>
                <w:b/>
                <w:color w:val="231F20"/>
                <w:sz w:val="14"/>
              </w:rPr>
              <w:t xml:space="preserve">Total </w:t>
            </w: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besoins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 xml:space="preserve"> </w:t>
            </w: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énerg.:</w:t>
            </w: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14:paraId="6FD03545" w14:textId="77777777" w:rsidR="008C0A7A" w:rsidRDefault="00953CA7">
            <w:pPr>
              <w:pStyle w:val="TableParagraph"/>
              <w:spacing w:line="165" w:lineRule="exact"/>
              <w:ind w:right="72"/>
              <w:jc w:val="right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w w:val="95"/>
                <w:sz w:val="14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14:paraId="21988730" w14:textId="77777777" w:rsidR="008C0A7A" w:rsidRDefault="00953CA7">
            <w:pPr>
              <w:pStyle w:val="TableParagraph"/>
              <w:spacing w:line="165" w:lineRule="exact"/>
              <w:ind w:left="7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14:paraId="7386FE4C" w14:textId="77777777" w:rsidR="008C0A7A" w:rsidRDefault="00953CA7">
            <w:pPr>
              <w:pStyle w:val="TableParagraph"/>
              <w:spacing w:line="165" w:lineRule="exact"/>
              <w:ind w:left="137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27’570</w:t>
            </w:r>
          </w:p>
        </w:tc>
      </w:tr>
    </w:tbl>
    <w:p w14:paraId="704C18C1" w14:textId="77777777" w:rsidR="008C0A7A" w:rsidRDefault="00953CA7">
      <w:pPr>
        <w:spacing w:line="168" w:lineRule="exact"/>
        <w:ind w:left="114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Alimentation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énergétique</w:t>
      </w:r>
    </w:p>
    <w:p w14:paraId="325EA1D8" w14:textId="77777777" w:rsidR="008C0A7A" w:rsidRDefault="00953CA7">
      <w:pPr>
        <w:tabs>
          <w:tab w:val="left" w:pos="886"/>
          <w:tab w:val="left" w:pos="2026"/>
          <w:tab w:val="left" w:pos="2536"/>
          <w:tab w:val="left" w:pos="2937"/>
        </w:tabs>
        <w:spacing w:before="6" w:line="207" w:lineRule="auto"/>
        <w:ind w:left="113" w:right="15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Autoprod.: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 xml:space="preserve">       </w:t>
      </w:r>
      <w:r>
        <w:rPr>
          <w:rFonts w:ascii="Theinhardt Regular" w:eastAsia="Theinhardt Regular" w:hAnsi="Theinhardt Regular" w:cs="Theinhardt Regular"/>
          <w:color w:val="231F20"/>
          <w:spacing w:val="21"/>
          <w:position w:val="5"/>
          <w:sz w:val="8"/>
          <w:szCs w:val="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kWc   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kWh/a</w:t>
      </w:r>
      <w:r>
        <w:rPr>
          <w:rFonts w:ascii="Theinhardt Regular" w:eastAsia="Theinhardt Regular" w:hAnsi="Theinhardt Regular" w:cs="Theinhardt Regular"/>
          <w:color w:val="231F20"/>
          <w:spacing w:val="32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PV-Toit: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ab/>
        <w:t>256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22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50.7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155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157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43’270</w:t>
      </w:r>
    </w:p>
    <w:p w14:paraId="7373AD83" w14:textId="77777777" w:rsidR="008C0A7A" w:rsidRDefault="00953CA7">
      <w:pPr>
        <w:tabs>
          <w:tab w:val="left" w:pos="2537"/>
          <w:tab w:val="left" w:pos="2999"/>
        </w:tabs>
        <w:spacing w:before="38" w:line="172" w:lineRule="exact"/>
        <w:ind w:left="11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Bilan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énergétique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(énergie</w:t>
      </w:r>
      <w:r>
        <w:rPr>
          <w:rFonts w:ascii="Theinhardt Regular" w:hAnsi="Theinhardt Regular"/>
          <w:color w:val="231F20"/>
          <w:sz w:val="14"/>
        </w:rPr>
        <w:t xml:space="preserve"> finale)</w:t>
      </w:r>
      <w:r>
        <w:rPr>
          <w:rFonts w:ascii="Theinhardt Regular" w:hAnsi="Theinhardt Regular"/>
          <w:color w:val="231F20"/>
          <w:sz w:val="14"/>
        </w:rPr>
        <w:tab/>
        <w:t>%</w:t>
      </w:r>
      <w:r>
        <w:rPr>
          <w:rFonts w:ascii="Theinhardt Regular" w:hAnsi="Theinhardt Regular"/>
          <w:color w:val="231F20"/>
          <w:sz w:val="14"/>
        </w:rPr>
        <w:tab/>
        <w:t>kWh/a</w:t>
      </w:r>
    </w:p>
    <w:p w14:paraId="37D476D2" w14:textId="77777777" w:rsidR="008C0A7A" w:rsidRDefault="00953CA7">
      <w:pPr>
        <w:tabs>
          <w:tab w:val="left" w:pos="2422"/>
          <w:tab w:val="left" w:pos="2937"/>
        </w:tabs>
        <w:spacing w:line="160" w:lineRule="exact"/>
        <w:ind w:left="114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Alimentation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énergétique: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157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43’270</w:t>
      </w:r>
    </w:p>
    <w:p w14:paraId="6CDF366B" w14:textId="77777777" w:rsidR="008C0A7A" w:rsidRDefault="00953CA7">
      <w:pPr>
        <w:tabs>
          <w:tab w:val="left" w:pos="2417"/>
          <w:tab w:val="left" w:pos="2941"/>
        </w:tabs>
        <w:spacing w:line="160" w:lineRule="exact"/>
        <w:ind w:left="114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Total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besoins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énerg.: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>100</w:t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27’570</w:t>
      </w:r>
    </w:p>
    <w:p w14:paraId="4A37A8CC" w14:textId="77777777" w:rsidR="008C0A7A" w:rsidRDefault="00953CA7">
      <w:pPr>
        <w:tabs>
          <w:tab w:val="left" w:pos="2500"/>
          <w:tab w:val="left" w:pos="2942"/>
        </w:tabs>
        <w:spacing w:line="172" w:lineRule="exact"/>
        <w:ind w:left="114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Surplus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d'électricité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solaire: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w w:val="95"/>
          <w:sz w:val="14"/>
          <w:szCs w:val="14"/>
        </w:rPr>
        <w:t>57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w w:val="95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15’700</w:t>
      </w:r>
    </w:p>
    <w:p w14:paraId="545372C0" w14:textId="77777777" w:rsidR="008C0A7A" w:rsidRDefault="00953CA7">
      <w:pPr>
        <w:spacing w:before="39" w:line="160" w:lineRule="exact"/>
        <w:ind w:left="114" w:right="84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Confirmé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par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SIG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le</w:t>
      </w:r>
      <w:r>
        <w:rPr>
          <w:rFonts w:ascii="Theinhardt Regular" w:hAnsi="Theinhardt Regular"/>
          <w:color w:val="231F20"/>
          <w:spacing w:val="-1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 xml:space="preserve">2 </w:t>
      </w:r>
      <w:r>
        <w:rPr>
          <w:rFonts w:ascii="Theinhardt Regular" w:hAnsi="Theinhardt Regular"/>
          <w:color w:val="231F20"/>
          <w:spacing w:val="1"/>
          <w:sz w:val="14"/>
        </w:rPr>
        <w:t>juillet</w:t>
      </w:r>
      <w:r>
        <w:rPr>
          <w:rFonts w:ascii="Theinhardt Regular" w:hAnsi="Theinhardt Regular"/>
          <w:color w:val="231F20"/>
          <w:spacing w:val="-1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2021,</w:t>
      </w:r>
      <w:r>
        <w:rPr>
          <w:rFonts w:ascii="Theinhardt Regular" w:hAnsi="Theinhardt Regular"/>
          <w:color w:val="231F20"/>
          <w:spacing w:val="27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Barbara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Di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Martile,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844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800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808</w:t>
      </w:r>
    </w:p>
    <w:p w14:paraId="20660505" w14:textId="77777777" w:rsidR="008C0A7A" w:rsidRDefault="008C0A7A">
      <w:pPr>
        <w:spacing w:before="2"/>
        <w:rPr>
          <w:rFonts w:ascii="Theinhardt Regular" w:eastAsia="Theinhardt Regular" w:hAnsi="Theinhardt Regular" w:cs="Theinhardt Regular"/>
          <w:sz w:val="12"/>
          <w:szCs w:val="12"/>
        </w:rPr>
      </w:pPr>
    </w:p>
    <w:p w14:paraId="04DB5F6C" w14:textId="77777777" w:rsidR="008C0A7A" w:rsidRDefault="00953CA7">
      <w:pPr>
        <w:spacing w:line="160" w:lineRule="exact"/>
        <w:ind w:left="11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La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meilleure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isolation</w:t>
      </w:r>
      <w:r>
        <w:rPr>
          <w:rFonts w:ascii="Theinhardt Bold" w:hAnsi="Theinhardt Bold"/>
          <w:b/>
          <w:color w:val="231F20"/>
          <w:spacing w:val="2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des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bâtiments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contre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le</w:t>
      </w:r>
      <w:r>
        <w:rPr>
          <w:rFonts w:ascii="Theinhardt Regular" w:hAnsi="Theinhardt Regular"/>
          <w:color w:val="231F20"/>
          <w:spacing w:val="28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réchauffement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climatique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2021</w:t>
      </w:r>
    </w:p>
    <w:p w14:paraId="6EE85419" w14:textId="77777777" w:rsidR="008C0A7A" w:rsidRDefault="00953CA7">
      <w:pPr>
        <w:spacing w:before="112"/>
        <w:ind w:left="114"/>
        <w:rPr>
          <w:rFonts w:ascii="Theinhardt Black" w:eastAsia="Theinhardt Black" w:hAnsi="Theinhardt Black" w:cs="Theinhardt Black"/>
          <w:sz w:val="14"/>
          <w:szCs w:val="14"/>
        </w:rPr>
      </w:pPr>
      <w:r>
        <w:rPr>
          <w:rFonts w:ascii="Theinhardt Black" w:hAnsi="Theinhardt Black"/>
          <w:b/>
          <w:color w:val="231F20"/>
          <w:spacing w:val="1"/>
          <w:sz w:val="14"/>
        </w:rPr>
        <w:t>Personnes</w:t>
      </w:r>
      <w:r>
        <w:rPr>
          <w:rFonts w:ascii="Theinhardt Black" w:hAnsi="Theinhardt Black"/>
          <w:b/>
          <w:color w:val="231F20"/>
          <w:sz w:val="14"/>
        </w:rPr>
        <w:t xml:space="preserve"> impliquées</w:t>
      </w:r>
    </w:p>
    <w:p w14:paraId="61EF472E" w14:textId="77777777" w:rsidR="008C0A7A" w:rsidRDefault="008C0A7A">
      <w:pPr>
        <w:spacing w:before="9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338A928B" w14:textId="77777777" w:rsidR="008C0A7A" w:rsidRDefault="00953CA7">
      <w:pPr>
        <w:spacing w:line="20" w:lineRule="atLeast"/>
        <w:ind w:left="113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6B02BAE6">
          <v:group id="_x0000_s1030" style="width:167.25pt;height:.45pt;mso-position-horizontal-relative:char;mso-position-vertical-relative:line" coordsize="3345,9">
            <v:group id="_x0000_s1035" style="position:absolute;left:21;top:4;width:3311;height:2" coordorigin="21,4" coordsize="3311,2">
              <v:shape id="_x0000_s1036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3" style="position:absolute;left:4;top:4;width:2;height:2" coordorigin="4,4" coordsize="2,2">
              <v:shape id="_x0000_s1034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1" style="position:absolute;left:3341;top:4;width:2;height:2" coordorigin="3341,4" coordsize="2,2">
              <v:shape id="_x0000_s1032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6624A860" w14:textId="77777777" w:rsidR="008C0A7A" w:rsidRDefault="00953CA7">
      <w:pPr>
        <w:spacing w:before="20" w:line="172" w:lineRule="exact"/>
        <w:ind w:left="114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Adresse</w:t>
      </w:r>
      <w:r>
        <w:rPr>
          <w:rFonts w:ascii="Theinhardt Bold" w:hAnsi="Theinhardt Bold"/>
          <w:b/>
          <w:color w:val="231F20"/>
          <w:sz w:val="14"/>
        </w:rPr>
        <w:t xml:space="preserve"> du </w:t>
      </w:r>
      <w:r>
        <w:rPr>
          <w:rFonts w:ascii="Theinhardt Bold" w:hAnsi="Theinhardt Bold"/>
          <w:b/>
          <w:color w:val="231F20"/>
          <w:spacing w:val="1"/>
          <w:sz w:val="14"/>
        </w:rPr>
        <w:t>bâtiment</w:t>
      </w:r>
    </w:p>
    <w:p w14:paraId="275C4876" w14:textId="77777777" w:rsidR="008C0A7A" w:rsidRDefault="00953CA7">
      <w:pPr>
        <w:spacing w:line="160" w:lineRule="exact"/>
        <w:ind w:left="11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Copropriété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Cléomes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22</w:t>
      </w:r>
    </w:p>
    <w:p w14:paraId="1A54ABB0" w14:textId="77777777" w:rsidR="008C0A7A" w:rsidRDefault="00953CA7">
      <w:pPr>
        <w:spacing w:line="172" w:lineRule="exact"/>
        <w:ind w:left="11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Chemin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des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Cléomes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22,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1226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Thônex</w:t>
      </w:r>
    </w:p>
    <w:p w14:paraId="3D4B4A17" w14:textId="77777777" w:rsidR="008C0A7A" w:rsidRDefault="00953CA7">
      <w:pPr>
        <w:spacing w:before="32" w:line="172" w:lineRule="exact"/>
        <w:ind w:left="114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Architectes</w:t>
      </w:r>
    </w:p>
    <w:p w14:paraId="0C663551" w14:textId="77777777" w:rsidR="008C0A7A" w:rsidRDefault="00953CA7">
      <w:pPr>
        <w:spacing w:line="160" w:lineRule="exact"/>
        <w:ind w:left="11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Homsphere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SA,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Sébastien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Bouvet</w:t>
      </w:r>
    </w:p>
    <w:p w14:paraId="4818198D" w14:textId="77777777" w:rsidR="008C0A7A" w:rsidRDefault="00953CA7">
      <w:pPr>
        <w:spacing w:line="160" w:lineRule="exact"/>
        <w:ind w:left="11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Rue</w:t>
      </w:r>
      <w:r>
        <w:rPr>
          <w:rFonts w:ascii="Theinhardt Regular" w:hAnsi="Theinhardt Regular"/>
          <w:color w:val="231F20"/>
          <w:sz w:val="14"/>
        </w:rPr>
        <w:t xml:space="preserve"> du </w:t>
      </w:r>
      <w:r>
        <w:rPr>
          <w:rFonts w:ascii="Theinhardt Regular" w:hAnsi="Theinhardt Regular"/>
          <w:color w:val="231F20"/>
          <w:spacing w:val="5"/>
          <w:sz w:val="14"/>
        </w:rPr>
        <w:t>XXXI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Décembre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6"/>
          <w:sz w:val="14"/>
        </w:rPr>
        <w:t>47,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7"/>
          <w:sz w:val="14"/>
        </w:rPr>
        <w:t>1211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Genève</w:t>
      </w:r>
      <w:r>
        <w:rPr>
          <w:rFonts w:ascii="Theinhardt Regular" w:hAnsi="Theinhardt Regular"/>
          <w:color w:val="231F20"/>
          <w:sz w:val="14"/>
        </w:rPr>
        <w:t xml:space="preserve"> 6</w:t>
      </w:r>
    </w:p>
    <w:p w14:paraId="5F9907BE" w14:textId="77777777" w:rsidR="008C0A7A" w:rsidRDefault="00953CA7">
      <w:pPr>
        <w:spacing w:line="172" w:lineRule="exact"/>
        <w:ind w:left="11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341</w:t>
      </w:r>
      <w:r>
        <w:rPr>
          <w:rFonts w:ascii="Theinhardt Regular" w:hAnsi="Theinhardt Regular"/>
          <w:color w:val="231F20"/>
          <w:sz w:val="14"/>
        </w:rPr>
        <w:t xml:space="preserve"> 30 </w:t>
      </w:r>
      <w:r>
        <w:rPr>
          <w:rFonts w:ascii="Theinhardt Regular" w:hAnsi="Theinhardt Regular"/>
          <w:color w:val="231F20"/>
          <w:spacing w:val="1"/>
          <w:sz w:val="14"/>
        </w:rPr>
        <w:t>00</w:t>
      </w:r>
      <w:hyperlink r:id="rId6">
        <w:r>
          <w:rPr>
            <w:rFonts w:ascii="Theinhardt Regular" w:hAnsi="Theinhardt Regular"/>
            <w:color w:val="231F20"/>
            <w:spacing w:val="1"/>
            <w:sz w:val="14"/>
          </w:rPr>
          <w:t>,</w:t>
        </w:r>
        <w:r>
          <w:rPr>
            <w:rFonts w:ascii="Theinhardt Regular" w:hAnsi="Theinhardt Regular"/>
            <w:color w:val="231F20"/>
            <w:sz w:val="14"/>
          </w:rPr>
          <w:t xml:space="preserve"> </w:t>
        </w:r>
        <w:r>
          <w:rPr>
            <w:rFonts w:ascii="Theinhardt Regular" w:hAnsi="Theinhardt Regular"/>
            <w:color w:val="231F20"/>
            <w:spacing w:val="1"/>
            <w:sz w:val="14"/>
          </w:rPr>
          <w:t>info@homsphere.com</w:t>
        </w:r>
      </w:hyperlink>
    </w:p>
    <w:p w14:paraId="0CCAF5D8" w14:textId="77777777" w:rsidR="008C0A7A" w:rsidRDefault="00953CA7">
      <w:pPr>
        <w:spacing w:before="32" w:line="172" w:lineRule="exact"/>
        <w:ind w:left="114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Autres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2"/>
          <w:sz w:val="14"/>
        </w:rPr>
        <w:t>participants</w:t>
      </w:r>
      <w:r>
        <w:rPr>
          <w:rFonts w:ascii="Theinhardt Bold"/>
          <w:b/>
          <w:color w:val="231F20"/>
          <w:sz w:val="14"/>
        </w:rPr>
        <w:t xml:space="preserve"> au </w:t>
      </w:r>
      <w:r>
        <w:rPr>
          <w:rFonts w:ascii="Theinhardt Bold"/>
          <w:b/>
          <w:color w:val="231F20"/>
          <w:spacing w:val="1"/>
          <w:sz w:val="14"/>
        </w:rPr>
        <w:t>projet</w:t>
      </w:r>
    </w:p>
    <w:p w14:paraId="61460F92" w14:textId="77777777" w:rsidR="008C0A7A" w:rsidRDefault="00953CA7">
      <w:pPr>
        <w:spacing w:line="160" w:lineRule="exact"/>
        <w:ind w:left="11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Ai4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Architecture</w:t>
      </w:r>
    </w:p>
    <w:p w14:paraId="57D04568" w14:textId="77777777" w:rsidR="008C0A7A" w:rsidRDefault="00953CA7">
      <w:pPr>
        <w:spacing w:line="160" w:lineRule="exact"/>
        <w:ind w:left="11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 xml:space="preserve">66 </w:t>
      </w:r>
      <w:r>
        <w:rPr>
          <w:rFonts w:ascii="Theinhardt Regular" w:hAnsi="Theinhardt Regular"/>
          <w:color w:val="231F20"/>
          <w:spacing w:val="1"/>
          <w:sz w:val="14"/>
        </w:rPr>
        <w:t>chemin</w:t>
      </w:r>
      <w:r>
        <w:rPr>
          <w:rFonts w:ascii="Theinhardt Regular" w:hAnsi="Theinhardt Regular"/>
          <w:color w:val="231F20"/>
          <w:sz w:val="14"/>
        </w:rPr>
        <w:t xml:space="preserve"> Frank-Thomas, </w:t>
      </w:r>
      <w:r>
        <w:rPr>
          <w:rFonts w:ascii="Theinhardt Regular" w:hAnsi="Theinhardt Regular"/>
          <w:color w:val="231F20"/>
          <w:spacing w:val="-3"/>
          <w:sz w:val="14"/>
        </w:rPr>
        <w:t>1223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Cologny</w:t>
      </w:r>
      <w:r>
        <w:rPr>
          <w:rFonts w:ascii="Theinhardt Regular" w:hAnsi="Theinhardt Regular"/>
          <w:color w:val="231F20"/>
          <w:sz w:val="14"/>
        </w:rPr>
        <w:t xml:space="preserve"> - </w:t>
      </w:r>
      <w:r>
        <w:rPr>
          <w:rFonts w:ascii="Theinhardt Regular" w:hAnsi="Theinhardt Regular"/>
          <w:color w:val="231F20"/>
          <w:spacing w:val="1"/>
          <w:sz w:val="14"/>
        </w:rPr>
        <w:t>Genève,</w:t>
      </w:r>
    </w:p>
    <w:p w14:paraId="6C0379CD" w14:textId="77777777" w:rsidR="008C0A7A" w:rsidRDefault="00953CA7">
      <w:pPr>
        <w:spacing w:line="160" w:lineRule="exact"/>
        <w:ind w:left="11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22</w:t>
      </w:r>
      <w:r>
        <w:rPr>
          <w:rFonts w:ascii="Theinhardt Regular" w:hAnsi="Theinhardt Regular"/>
          <w:color w:val="231F20"/>
          <w:sz w:val="14"/>
        </w:rPr>
        <w:t xml:space="preserve"> 786 </w:t>
      </w:r>
      <w:r>
        <w:rPr>
          <w:rFonts w:ascii="Theinhardt Regular" w:hAnsi="Theinhardt Regular"/>
          <w:color w:val="231F20"/>
          <w:spacing w:val="1"/>
          <w:sz w:val="14"/>
        </w:rPr>
        <w:t>08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88</w:t>
      </w:r>
    </w:p>
    <w:p w14:paraId="5C649133" w14:textId="77777777" w:rsidR="008C0A7A" w:rsidRDefault="00953CA7">
      <w:pPr>
        <w:spacing w:line="172" w:lineRule="exact"/>
        <w:ind w:left="114"/>
        <w:rPr>
          <w:rFonts w:ascii="Theinhardt Regular" w:eastAsia="Theinhardt Regular" w:hAnsi="Theinhardt Regular" w:cs="Theinhardt Regular"/>
          <w:sz w:val="14"/>
          <w:szCs w:val="14"/>
        </w:rPr>
      </w:pPr>
      <w:hyperlink r:id="rId7">
        <w:r>
          <w:rPr>
            <w:rFonts w:ascii="Theinhardt Regular"/>
            <w:color w:val="231F20"/>
            <w:spacing w:val="1"/>
            <w:sz w:val="14"/>
          </w:rPr>
          <w:t>www.ai4.ch,</w:t>
        </w:r>
      </w:hyperlink>
      <w:r>
        <w:rPr>
          <w:rFonts w:ascii="Theinhardt Regular"/>
          <w:color w:val="231F20"/>
          <w:sz w:val="14"/>
        </w:rPr>
        <w:t xml:space="preserve"> </w:t>
      </w:r>
      <w:hyperlink r:id="rId8">
        <w:r>
          <w:rPr>
            <w:rFonts w:ascii="Theinhardt Regular"/>
            <w:color w:val="231F20"/>
            <w:spacing w:val="1"/>
            <w:sz w:val="14"/>
          </w:rPr>
          <w:t>igor.correia@ai4.ch</w:t>
        </w:r>
      </w:hyperlink>
    </w:p>
    <w:p w14:paraId="192348BE" w14:textId="77777777" w:rsidR="008C0A7A" w:rsidRDefault="00953CA7">
      <w:pPr>
        <w:spacing w:before="39" w:line="160" w:lineRule="exact"/>
        <w:ind w:left="114" w:right="88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Efficience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Energie,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Berweiler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Georges</w:t>
      </w:r>
      <w:r>
        <w:rPr>
          <w:rFonts w:ascii="Theinhardt Regular" w:hAnsi="Theinhardt Regular"/>
          <w:color w:val="231F20"/>
          <w:spacing w:val="27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Rue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la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Dôle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10,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1262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Eysins</w:t>
      </w:r>
    </w:p>
    <w:p w14:paraId="79AA541F" w14:textId="77777777" w:rsidR="008C0A7A" w:rsidRDefault="00953CA7">
      <w:pPr>
        <w:spacing w:line="160" w:lineRule="exact"/>
        <w:ind w:left="114" w:right="29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79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431</w:t>
      </w:r>
      <w:r>
        <w:rPr>
          <w:rFonts w:ascii="Theinhardt Regular" w:hAnsi="Theinhardt Regular"/>
          <w:color w:val="231F20"/>
          <w:sz w:val="14"/>
        </w:rPr>
        <w:t xml:space="preserve"> 53 </w:t>
      </w:r>
      <w:r>
        <w:rPr>
          <w:rFonts w:ascii="Theinhardt Regular" w:hAnsi="Theinhardt Regular"/>
          <w:color w:val="231F20"/>
          <w:spacing w:val="1"/>
          <w:sz w:val="14"/>
        </w:rPr>
        <w:t>4</w:t>
      </w:r>
      <w:hyperlink r:id="rId9">
        <w:r>
          <w:rPr>
            <w:rFonts w:ascii="Theinhardt Regular" w:hAnsi="Theinhardt Regular"/>
            <w:color w:val="231F20"/>
            <w:spacing w:val="1"/>
            <w:sz w:val="14"/>
          </w:rPr>
          <w:t>4,</w:t>
        </w:r>
        <w:r>
          <w:rPr>
            <w:rFonts w:ascii="Theinhardt Regular" w:hAnsi="Theinhardt Regular"/>
            <w:color w:val="231F20"/>
            <w:sz w:val="14"/>
          </w:rPr>
          <w:t xml:space="preserve"> </w:t>
        </w:r>
        <w:r>
          <w:rPr>
            <w:rFonts w:ascii="Theinhardt Regular" w:hAnsi="Theinhardt Regular"/>
            <w:color w:val="231F20"/>
            <w:spacing w:val="2"/>
            <w:sz w:val="14"/>
          </w:rPr>
          <w:t>www.efficience-energie.ch</w:t>
        </w:r>
      </w:hyperlink>
      <w:r>
        <w:rPr>
          <w:rFonts w:ascii="Theinhardt Regular" w:hAnsi="Theinhardt Regular"/>
          <w:color w:val="231F20"/>
          <w:spacing w:val="22"/>
          <w:sz w:val="14"/>
        </w:rPr>
        <w:t xml:space="preserve"> </w:t>
      </w:r>
      <w:hyperlink r:id="rId10">
        <w:r>
          <w:rPr>
            <w:rFonts w:ascii="Theinhardt Regular" w:hAnsi="Theinhardt Regular"/>
            <w:color w:val="231F20"/>
            <w:spacing w:val="2"/>
            <w:sz w:val="14"/>
          </w:rPr>
          <w:t>g.berweiler@efficience-energie.ch</w:t>
        </w:r>
      </w:hyperlink>
    </w:p>
    <w:p w14:paraId="166A24D2" w14:textId="77777777" w:rsidR="008C0A7A" w:rsidRDefault="008C0A7A">
      <w:pPr>
        <w:spacing w:line="160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8C0A7A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70" w:space="101"/>
            <w:col w:w="3464" w:space="107"/>
            <w:col w:w="3568"/>
          </w:cols>
        </w:sectPr>
      </w:pPr>
    </w:p>
    <w:p w14:paraId="01135400" w14:textId="77777777" w:rsidR="008C0A7A" w:rsidRDefault="00953CA7">
      <w:pPr>
        <w:pStyle w:val="Textkrper"/>
        <w:spacing w:line="232" w:lineRule="auto"/>
        <w:ind w:right="3" w:firstLine="0"/>
        <w:jc w:val="both"/>
      </w:pPr>
      <w:r>
        <w:rPr>
          <w:color w:val="231F20"/>
          <w:spacing w:val="-5"/>
        </w:rPr>
        <w:t>triques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6"/>
        </w:rPr>
        <w:t>exploitées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4"/>
        </w:rPr>
        <w:t>par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les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5"/>
        </w:rPr>
        <w:t>familles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7"/>
        </w:rPr>
        <w:t>résidentes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8"/>
        </w:rPr>
        <w:t>n’ont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6"/>
        </w:rPr>
        <w:t>consommé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5"/>
        </w:rPr>
        <w:t>3’499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kWh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6"/>
        </w:rPr>
        <w:t>durant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6"/>
        </w:rPr>
        <w:t>les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douze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6"/>
        </w:rPr>
        <w:t>derniers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mois,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5"/>
        </w:rPr>
        <w:t>soit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6"/>
        </w:rPr>
        <w:t>moyenne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6"/>
        </w:rPr>
        <w:t>875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7"/>
        </w:rPr>
        <w:t>kWh/a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chacune.</w:t>
      </w:r>
    </w:p>
    <w:p w14:paraId="5D8A30F5" w14:textId="77777777" w:rsidR="008C0A7A" w:rsidRDefault="00953CA7">
      <w:pPr>
        <w:pStyle w:val="Textkrper"/>
        <w:tabs>
          <w:tab w:val="left" w:pos="1982"/>
        </w:tabs>
        <w:spacing w:before="3" w:line="227" w:lineRule="auto"/>
        <w:jc w:val="both"/>
      </w:pPr>
      <w:r>
        <w:rPr>
          <w:color w:val="231F20"/>
          <w:spacing w:val="-6"/>
        </w:rPr>
        <w:t>Avec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lotissement,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5"/>
        </w:rPr>
        <w:t>Sébastien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Bouvet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</w:rPr>
        <w:t>illus-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6"/>
        </w:rPr>
        <w:t>tre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belle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façon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qu’approvisionner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bâtiments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véhicules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électriques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avec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7"/>
        </w:rPr>
        <w:t>l’énergie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verte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6"/>
        </w:rPr>
        <w:t xml:space="preserve">produite </w:t>
      </w:r>
      <w:r>
        <w:rPr>
          <w:color w:val="231F20"/>
          <w:spacing w:val="-4"/>
        </w:rPr>
        <w:t>sur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place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loin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moyen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  <w:spacing w:val="-6"/>
        </w:rPr>
        <w:t xml:space="preserve"> plus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effi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5"/>
        </w:rPr>
        <w:t>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pour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7"/>
        </w:rPr>
        <w:t>réduire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émissions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</w:t>
      </w:r>
      <w:r>
        <w:rPr>
          <w:color w:val="231F20"/>
          <w:spacing w:val="-4"/>
          <w:position w:val="-5"/>
          <w:sz w:val="10"/>
          <w:szCs w:val="10"/>
        </w:rPr>
        <w:t>2</w:t>
      </w:r>
      <w:r>
        <w:rPr>
          <w:color w:val="231F20"/>
          <w:spacing w:val="-4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lo-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calement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et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globalement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(cf.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Prix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Solaire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>Suisse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5"/>
        </w:rPr>
        <w:t>2020,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p.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32,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</w:rPr>
        <w:t>confi</w:t>
      </w:r>
      <w:r>
        <w:rPr>
          <w:color w:val="231F20"/>
          <w:spacing w:val="-5"/>
        </w:rPr>
        <w:tab/>
        <w:t>OFEV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p.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</w:rPr>
        <w:t>62/63).</w:t>
      </w:r>
    </w:p>
    <w:p w14:paraId="1985003F" w14:textId="77777777" w:rsidR="008C0A7A" w:rsidRDefault="00953CA7">
      <w:pPr>
        <w:pStyle w:val="Textkrper"/>
        <w:spacing w:before="1" w:line="232" w:lineRule="auto"/>
        <w:jc w:val="both"/>
      </w:pPr>
      <w:r>
        <w:rPr>
          <w:color w:val="231F20"/>
          <w:spacing w:val="-6"/>
        </w:rPr>
        <w:t>Les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villas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</w:rPr>
        <w:t>Thônex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sont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reliées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par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un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mic-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7"/>
        </w:rPr>
        <w:t>ro-réseau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intelligent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qui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optimise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l’utilisation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7"/>
        </w:rPr>
        <w:t>l’énergie,</w:t>
      </w:r>
      <w:r>
        <w:rPr>
          <w:color w:val="231F20"/>
          <w:spacing w:val="-5"/>
        </w:rPr>
        <w:t xml:space="preserve"> tout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en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minimisant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le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recours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au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ré-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</w:rPr>
        <w:t>seau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public.</w:t>
      </w:r>
    </w:p>
    <w:p w14:paraId="1E673CA4" w14:textId="77777777" w:rsidR="008C0A7A" w:rsidRDefault="00953CA7">
      <w:pPr>
        <w:tabs>
          <w:tab w:val="left" w:pos="3706"/>
          <w:tab w:val="left" w:pos="7017"/>
        </w:tabs>
        <w:spacing w:line="232" w:lineRule="auto"/>
        <w:ind w:left="113" w:right="114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875</w:t>
      </w:r>
      <w:r>
        <w:rPr>
          <w:rFonts w:ascii="Theinhardt Regular Italic" w:hAnsi="Theinhardt Regular Italic"/>
          <w:i/>
          <w:color w:val="231F20"/>
          <w:spacing w:val="1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kWh/a</w:t>
      </w:r>
      <w:r>
        <w:rPr>
          <w:rFonts w:ascii="Theinhardt Regular Italic" w:hAnsi="Theinhardt Regular Italic"/>
          <w:i/>
          <w:color w:val="231F20"/>
          <w:spacing w:val="1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pro</w:t>
      </w:r>
      <w:r>
        <w:rPr>
          <w:rFonts w:ascii="Theinhardt Regular Italic" w:hAnsi="Theinhardt Regular Italic"/>
          <w:i/>
          <w:color w:val="231F20"/>
          <w:spacing w:val="1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Fahrzeug.</w:t>
      </w:r>
      <w:r>
        <w:rPr>
          <w:rFonts w:ascii="Theinhardt Regular Italic" w:hAnsi="Theinhardt Regular Italic"/>
          <w:i/>
          <w:color w:val="231F20"/>
          <w:spacing w:val="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1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PEB-Siedlung</w:t>
      </w:r>
      <w:r>
        <w:rPr>
          <w:rFonts w:ascii="Theinhardt Regular Italic" w:hAnsi="Theinhardt Regular Italic"/>
          <w:i/>
          <w:color w:val="231F20"/>
          <w:sz w:val="18"/>
        </w:rPr>
        <w:tab/>
      </w:r>
      <w:r>
        <w:rPr>
          <w:rFonts w:ascii="Theinhardt Regular Italic" w:hAnsi="Theinhardt Regular Italic"/>
          <w:i/>
          <w:color w:val="231F20"/>
          <w:sz w:val="18"/>
          <w:u w:val="dotted" w:color="231F20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  <w:u w:val="dotted" w:color="231F20"/>
        </w:rPr>
        <w:tab/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w w:val="95"/>
          <w:sz w:val="18"/>
        </w:rPr>
        <w:t>Homsphere</w:t>
      </w:r>
      <w:r>
        <w:rPr>
          <w:rFonts w:ascii="Theinhardt Regular Italic" w:hAnsi="Theinhardt Regular Italic"/>
          <w:i/>
          <w:color w:val="231F20"/>
          <w:spacing w:val="28"/>
          <w:w w:val="9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könnte</w:t>
      </w:r>
      <w:r>
        <w:rPr>
          <w:rFonts w:ascii="Theinhardt Regular Italic" w:hAnsi="Theinhardt Regular Italic"/>
          <w:i/>
          <w:color w:val="231F20"/>
          <w:spacing w:val="-1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sogar</w:t>
      </w:r>
      <w:r>
        <w:rPr>
          <w:rFonts w:ascii="Theinhardt Regular Italic" w:hAnsi="Theinhardt Regular Italic"/>
          <w:i/>
          <w:color w:val="231F20"/>
          <w:spacing w:val="-1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18</w:t>
      </w:r>
      <w:r>
        <w:rPr>
          <w:rFonts w:ascii="Theinhardt Regular Italic" w:hAnsi="Theinhardt Regular Italic"/>
          <w:i/>
          <w:color w:val="231F20"/>
          <w:spacing w:val="-18"/>
          <w:sz w:val="18"/>
        </w:rPr>
        <w:t xml:space="preserve"> </w:t>
      </w:r>
      <w:proofErr w:type="gramStart"/>
      <w:r>
        <w:rPr>
          <w:rFonts w:ascii="Theinhardt Regular Italic" w:hAnsi="Theinhardt Regular Italic"/>
          <w:i/>
          <w:color w:val="231F20"/>
          <w:spacing w:val="-3"/>
          <w:sz w:val="18"/>
        </w:rPr>
        <w:t>energieeffi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1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ente</w:t>
      </w:r>
      <w:proofErr w:type="gramEnd"/>
    </w:p>
    <w:p w14:paraId="798E2B8D" w14:textId="77777777" w:rsidR="008C0A7A" w:rsidRDefault="00953CA7">
      <w:pPr>
        <w:spacing w:line="228" w:lineRule="exact"/>
        <w:ind w:left="113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pict w14:anchorId="62C8F659">
          <v:group id="_x0000_s1028" style="position:absolute;left:0;text-align:left;margin-left:386.1pt;margin-top:-14.2pt;width:.1pt;height:.1pt;z-index:-6136;mso-position-horizontal-relative:page" coordorigin="7722,-284" coordsize="2,2">
            <v:shape id="_x0000_s1029" style="position:absolute;left:7722;top:-284;width:2;height:2" coordorigin="7722,-284" coordsize="0,0" path="m7722,-284r,e" filled="f" strokecolor="#231f20" strokeweight=".14994mm">
              <v:path arrowok="t"/>
            </v:shape>
            <w10:wrap anchorx="page"/>
          </v:group>
        </w:pict>
      </w:r>
      <w:r>
        <w:pict w14:anchorId="529FAAA5">
          <v:group id="_x0000_s1026" style="position:absolute;left:0;text-align:left;margin-left:552.9pt;margin-top:-14.2pt;width:.1pt;height:.1pt;z-index:1096;mso-position-horizontal-relative:page" coordorigin="11058,-284" coordsize="2,2">
            <v:shape id="_x0000_s1027" style="position:absolute;left:11058;top:-284;width:2;height:2" coordorigin="11058,-284" coordsize="0,0" path="m11058,-284r,e" filled="f" strokecolor="#231f20" strokeweight=".14994mm">
              <v:path arrowok="t"/>
            </v:shape>
            <w10:wrap anchorx="page"/>
          </v:group>
        </w:pict>
      </w:r>
      <w:r>
        <w:rPr>
          <w:rFonts w:ascii="Theinhardt Regular Italic"/>
          <w:i/>
          <w:color w:val="231F20"/>
          <w:spacing w:val="-2"/>
          <w:sz w:val="18"/>
        </w:rPr>
        <w:t>E-Autos</w:t>
      </w:r>
      <w:r>
        <w:rPr>
          <w:rFonts w:asci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/>
          <w:i/>
          <w:color w:val="231F20"/>
          <w:spacing w:val="-3"/>
          <w:sz w:val="18"/>
        </w:rPr>
        <w:t>emissionsfrei</w:t>
      </w:r>
      <w:r>
        <w:rPr>
          <w:rFonts w:asci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/>
          <w:i/>
          <w:color w:val="231F20"/>
          <w:spacing w:val="-3"/>
          <w:sz w:val="18"/>
        </w:rPr>
        <w:t>betreiben.</w:t>
      </w:r>
    </w:p>
    <w:p w14:paraId="5E29C777" w14:textId="77777777" w:rsidR="008C0A7A" w:rsidRDefault="00953CA7">
      <w:pPr>
        <w:spacing w:before="6" w:line="226" w:lineRule="auto"/>
        <w:ind w:left="113" w:right="3672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3"/>
          <w:sz w:val="18"/>
        </w:rPr>
        <w:t>Sébastien</w:t>
      </w:r>
      <w:r>
        <w:rPr>
          <w:rFonts w:ascii="Theinhardt Regular Italic" w:hAnsi="Theinhardt Regular Italic"/>
          <w:i/>
          <w:color w:val="231F20"/>
          <w:spacing w:val="3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Bouvet</w:t>
      </w:r>
      <w:r>
        <w:rPr>
          <w:rFonts w:ascii="Theinhardt Regular Italic" w:hAnsi="Theinhardt Regular Italic"/>
          <w:i/>
          <w:color w:val="231F20"/>
          <w:spacing w:val="3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beweist</w:t>
      </w:r>
      <w:r>
        <w:rPr>
          <w:rFonts w:ascii="Theinhardt Regular Italic" w:hAnsi="Theinhardt Regular Italic"/>
          <w:i/>
          <w:color w:val="231F20"/>
          <w:spacing w:val="3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mit</w:t>
      </w:r>
      <w:r>
        <w:rPr>
          <w:rFonts w:ascii="Theinhardt Regular Italic" w:hAnsi="Theinhardt Regular Italic"/>
          <w:i/>
          <w:color w:val="231F20"/>
          <w:spacing w:val="3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der</w:t>
      </w:r>
      <w:r>
        <w:rPr>
          <w:rFonts w:ascii="Theinhardt Regular Italic" w:hAnsi="Theinhardt Regular Italic"/>
          <w:i/>
          <w:color w:val="231F20"/>
          <w:spacing w:val="3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PEB-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Siedlung,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dass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PEB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im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Verbund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mit</w:t>
      </w:r>
      <w:r>
        <w:rPr>
          <w:rFonts w:ascii="Theinhardt Regular Italic" w:hAnsi="Theinhardt Regular Italic"/>
          <w:i/>
          <w:color w:val="231F20"/>
          <w:spacing w:val="1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E-Autos</w:t>
      </w:r>
      <w:r>
        <w:rPr>
          <w:rFonts w:ascii="Theinhardt Regular Italic" w:hAnsi="Theinhardt Regular Italic"/>
          <w:i/>
          <w:color w:val="231F20"/>
          <w:spacing w:val="1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lokal</w:t>
      </w:r>
      <w:r>
        <w:rPr>
          <w:rFonts w:ascii="Theinhardt Regular Italic" w:hAnsi="Theinhardt Regular Italic"/>
          <w:i/>
          <w:color w:val="231F20"/>
          <w:spacing w:val="-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bis</w:t>
      </w:r>
      <w:r>
        <w:rPr>
          <w:rFonts w:ascii="Theinhardt Regular Italic" w:hAnsi="Theinhardt Regular Italic"/>
          <w:i/>
          <w:color w:val="231F20"/>
          <w:spacing w:val="-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global</w:t>
      </w:r>
      <w:r>
        <w:rPr>
          <w:rFonts w:ascii="Theinhardt Regular Italic" w:hAnsi="Theinhardt Regular Italic"/>
          <w:i/>
          <w:color w:val="231F20"/>
          <w:spacing w:val="-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mit</w:t>
      </w:r>
      <w:r>
        <w:rPr>
          <w:rFonts w:ascii="Theinhardt Regular Italic" w:hAnsi="Theinhardt Regular Italic"/>
          <w:i/>
          <w:color w:val="231F20"/>
          <w:spacing w:val="-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Abstand</w:t>
      </w:r>
      <w:r>
        <w:rPr>
          <w:rFonts w:ascii="Theinhardt Regular Italic" w:hAnsi="Theinhardt Regular Italic"/>
          <w:i/>
          <w:color w:val="231F20"/>
          <w:spacing w:val="-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-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grösste</w:t>
      </w:r>
      <w:r>
        <w:rPr>
          <w:rFonts w:ascii="Theinhardt Regular Italic" w:hAnsi="Theinhardt Regular Italic"/>
          <w:i/>
          <w:color w:val="231F20"/>
          <w:spacing w:val="-5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«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CO</w:t>
      </w:r>
      <w:r>
        <w:rPr>
          <w:rFonts w:ascii="Theinhardt Regular Italic" w:hAnsi="Theinhardt Regular Italic"/>
          <w:i/>
          <w:color w:val="231F20"/>
          <w:spacing w:val="-2"/>
          <w:position w:val="-5"/>
          <w:sz w:val="10"/>
        </w:rPr>
        <w:t>2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-</w:t>
      </w:r>
      <w:r>
        <w:rPr>
          <w:rFonts w:ascii="Theinhardt Regular Italic" w:hAnsi="Theinhardt Regular Italic"/>
          <w:i/>
          <w:color w:val="231F20"/>
          <w:spacing w:val="3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Senkungsmaschine</w:t>
      </w:r>
      <w:r>
        <w:rPr>
          <w:rFonts w:ascii="Theinhardt Regular" w:hAnsi="Theinhardt Regular"/>
          <w:color w:val="231F20"/>
          <w:spacing w:val="-3"/>
          <w:sz w:val="18"/>
        </w:rPr>
        <w:t>»</w:t>
      </w:r>
      <w:r>
        <w:rPr>
          <w:rFonts w:ascii="Theinhardt Regular" w:hAnsi="Theinhardt Regular"/>
          <w:color w:val="231F20"/>
          <w:spacing w:val="3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darstellen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(vgl.</w:t>
      </w:r>
      <w:r>
        <w:rPr>
          <w:rFonts w:ascii="Theinhardt Regular Italic" w:hAnsi="Theinhardt Regular Italic"/>
          <w:i/>
          <w:color w:val="231F20"/>
          <w:spacing w:val="2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Schwei-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zer</w:t>
      </w:r>
      <w:r>
        <w:rPr>
          <w:rFonts w:ascii="Theinhardt Regular Italic" w:hAnsi="Theinhardt Regular Italic"/>
          <w:i/>
          <w:color w:val="231F20"/>
          <w:spacing w:val="-1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Solarpreis</w:t>
      </w:r>
      <w:r>
        <w:rPr>
          <w:rFonts w:ascii="Theinhardt Regular Italic" w:hAnsi="Theinhardt Regular Italic"/>
          <w:i/>
          <w:color w:val="231F20"/>
          <w:spacing w:val="-1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2020,</w:t>
      </w:r>
      <w:r>
        <w:rPr>
          <w:rFonts w:ascii="Theinhardt Regular Italic" w:hAnsi="Theinhardt Regular Italic"/>
          <w:i/>
          <w:color w:val="231F20"/>
          <w:spacing w:val="-2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S.</w:t>
      </w:r>
      <w:r>
        <w:rPr>
          <w:rFonts w:ascii="Theinhardt Regular Italic" w:hAnsi="Theinhardt Regular Italic"/>
          <w:i/>
          <w:color w:val="231F20"/>
          <w:spacing w:val="-2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32,</w:t>
      </w:r>
      <w:r>
        <w:rPr>
          <w:rFonts w:ascii="Theinhardt Regular Italic" w:hAnsi="Theinhardt Regular Italic"/>
          <w:i/>
          <w:color w:val="231F20"/>
          <w:spacing w:val="-2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BAFU-Bestätigung</w:t>
      </w:r>
      <w:r>
        <w:rPr>
          <w:rFonts w:ascii="Theinhardt Regular Italic" w:hAnsi="Theinhardt Regular Italic"/>
          <w:i/>
          <w:color w:val="231F20"/>
          <w:spacing w:val="3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und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S.</w:t>
      </w:r>
      <w:r>
        <w:rPr>
          <w:rFonts w:ascii="Theinhardt Regular Italic" w:hAnsi="Theinhardt Regular Italic"/>
          <w:i/>
          <w:color w:val="231F20"/>
          <w:spacing w:val="-1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62/63).</w:t>
      </w:r>
    </w:p>
    <w:p w14:paraId="03D61B31" w14:textId="77777777" w:rsidR="008C0A7A" w:rsidRDefault="00953CA7">
      <w:pPr>
        <w:spacing w:before="1" w:line="232" w:lineRule="auto"/>
        <w:ind w:left="113" w:right="3672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2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4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Wohnhäuser</w:t>
      </w:r>
      <w:r>
        <w:rPr>
          <w:rFonts w:ascii="Theinhardt Regular Italic" w:hAnsi="Theinhardt Regular Italic"/>
          <w:i/>
          <w:color w:val="231F20"/>
          <w:spacing w:val="4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der</w:t>
      </w:r>
      <w:r>
        <w:rPr>
          <w:rFonts w:ascii="Theinhardt Regular Italic" w:hAnsi="Theinhardt Regular Italic"/>
          <w:i/>
          <w:color w:val="231F20"/>
          <w:spacing w:val="4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PEB-Siedlung</w:t>
      </w:r>
      <w:r>
        <w:rPr>
          <w:rFonts w:ascii="Theinhardt Regular Italic" w:hAnsi="Theinhardt Regular Italic"/>
          <w:i/>
          <w:color w:val="231F20"/>
          <w:spacing w:val="4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sind</w:t>
      </w:r>
      <w:r>
        <w:rPr>
          <w:rFonts w:ascii="Theinhardt Regular Italic" w:hAnsi="Theinhardt Regular Italic"/>
          <w:i/>
          <w:color w:val="231F20"/>
          <w:spacing w:val="2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durch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ein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intelligentes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Mikrogrid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miteinander</w:t>
      </w:r>
      <w:r>
        <w:rPr>
          <w:rFonts w:ascii="Theinhardt Regular Italic" w:hAnsi="Theinhardt Regular Italic"/>
          <w:i/>
          <w:color w:val="231F20"/>
          <w:spacing w:val="2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verbunden,</w:t>
      </w:r>
      <w:r>
        <w:rPr>
          <w:rFonts w:ascii="Theinhardt Regular Italic" w:hAnsi="Theinhardt Regular Italic"/>
          <w:i/>
          <w:color w:val="231F20"/>
          <w:spacing w:val="-1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das</w:t>
      </w:r>
      <w:r>
        <w:rPr>
          <w:rFonts w:ascii="Theinhardt Regular Italic" w:hAnsi="Theinhardt Regular Italic"/>
          <w:i/>
          <w:color w:val="231F20"/>
          <w:spacing w:val="-1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den</w:t>
      </w:r>
      <w:r>
        <w:rPr>
          <w:rFonts w:ascii="Theinhardt Regular Italic" w:hAnsi="Theinhardt Regular Italic"/>
          <w:i/>
          <w:color w:val="231F20"/>
          <w:spacing w:val="-1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Stromverbrauch</w:t>
      </w:r>
      <w:r>
        <w:rPr>
          <w:rFonts w:ascii="Theinhardt Regular Italic" w:hAnsi="Theinhardt Regular Italic"/>
          <w:i/>
          <w:color w:val="231F20"/>
          <w:spacing w:val="-1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optimiert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und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den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Energiebezug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vom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öffentlichen</w:t>
      </w:r>
      <w:r>
        <w:rPr>
          <w:rFonts w:ascii="Theinhardt Regular Italic" w:hAnsi="Theinhardt Regular Italic"/>
          <w:i/>
          <w:color w:val="231F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Netz</w:t>
      </w:r>
      <w:r>
        <w:rPr>
          <w:rFonts w:ascii="Theinhardt Regular Italic" w:hAnsi="Theinhardt Regular Italic"/>
          <w:i/>
          <w:color w:val="231F20"/>
          <w:spacing w:val="3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minimiert.</w:t>
      </w:r>
    </w:p>
    <w:p w14:paraId="47DDDD0C" w14:textId="77777777" w:rsidR="008C0A7A" w:rsidRDefault="008C0A7A">
      <w:pPr>
        <w:spacing w:line="232" w:lineRule="auto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  <w:sectPr w:rsidR="008C0A7A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3460" w:space="112"/>
            <w:col w:w="7138"/>
          </w:cols>
        </w:sectPr>
      </w:pPr>
    </w:p>
    <w:p w14:paraId="257602AF" w14:textId="77777777" w:rsidR="008C0A7A" w:rsidRDefault="008C0A7A">
      <w:pPr>
        <w:rPr>
          <w:rFonts w:ascii="Theinhardt Regular Italic" w:eastAsia="Theinhardt Regular Italic" w:hAnsi="Theinhardt Regular Italic" w:cs="Theinhardt Regular Italic"/>
          <w:i/>
          <w:sz w:val="20"/>
          <w:szCs w:val="20"/>
        </w:rPr>
      </w:pPr>
    </w:p>
    <w:p w14:paraId="3B51A793" w14:textId="77777777" w:rsidR="008C0A7A" w:rsidRDefault="008C0A7A">
      <w:pPr>
        <w:spacing w:before="11"/>
        <w:rPr>
          <w:rFonts w:ascii="Theinhardt Regular Italic" w:eastAsia="Theinhardt Regular Italic" w:hAnsi="Theinhardt Regular Italic" w:cs="Theinhardt Regular Italic"/>
          <w:i/>
          <w:sz w:val="17"/>
          <w:szCs w:val="17"/>
        </w:rPr>
      </w:pPr>
    </w:p>
    <w:p w14:paraId="46968E7D" w14:textId="77777777" w:rsidR="008C0A7A" w:rsidRDefault="00953CA7">
      <w:pPr>
        <w:spacing w:before="70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 xml:space="preserve">24    </w:t>
      </w:r>
      <w:r>
        <w:rPr>
          <w:rFonts w:ascii="Theinhardt Heavy"/>
          <w:b/>
          <w:color w:val="231F20"/>
          <w:spacing w:val="7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2021</w:t>
      </w:r>
    </w:p>
    <w:p w14:paraId="18E53451" w14:textId="77777777" w:rsidR="008C0A7A" w:rsidRDefault="008C0A7A">
      <w:pPr>
        <w:rPr>
          <w:rFonts w:ascii="Theinhardt Regular" w:eastAsia="Theinhardt Regular" w:hAnsi="Theinhardt Regular" w:cs="Theinhardt Regular"/>
          <w:sz w:val="14"/>
          <w:szCs w:val="14"/>
        </w:rPr>
        <w:sectPr w:rsidR="008C0A7A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2C14D846" w14:textId="77777777" w:rsidR="008C0A7A" w:rsidRDefault="008C0A7A">
      <w:pPr>
        <w:spacing w:before="6"/>
        <w:rPr>
          <w:rFonts w:ascii="Theinhardt Regular" w:eastAsia="Theinhardt Regular" w:hAnsi="Theinhardt Regular" w:cs="Theinhardt Regular"/>
          <w:sz w:val="5"/>
          <w:szCs w:val="5"/>
        </w:rPr>
      </w:pPr>
    </w:p>
    <w:p w14:paraId="36B9CEE5" w14:textId="77777777" w:rsidR="008C0A7A" w:rsidRDefault="00953CA7">
      <w:pPr>
        <w:spacing w:line="200" w:lineRule="atLeast"/>
        <w:ind w:left="110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52624E83" wp14:editId="206AD7E0">
            <wp:extent cx="6531225" cy="420052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2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2FC63" w14:textId="77777777" w:rsidR="008C0A7A" w:rsidRDefault="008C0A7A">
      <w:pPr>
        <w:spacing w:before="13"/>
        <w:rPr>
          <w:rFonts w:ascii="Theinhardt Regular" w:eastAsia="Theinhardt Regular" w:hAnsi="Theinhardt Regular" w:cs="Theinhardt Regular"/>
          <w:sz w:val="5"/>
          <w:szCs w:val="5"/>
        </w:rPr>
      </w:pPr>
    </w:p>
    <w:p w14:paraId="51D92998" w14:textId="77777777" w:rsidR="008C0A7A" w:rsidRDefault="00953CA7">
      <w:pPr>
        <w:spacing w:before="68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</w:p>
    <w:p w14:paraId="131D9EF0" w14:textId="77777777" w:rsidR="008C0A7A" w:rsidRDefault="008C0A7A">
      <w:pPr>
        <w:rPr>
          <w:rFonts w:ascii="Theinhardt Bold" w:eastAsia="Theinhardt Bold" w:hAnsi="Theinhardt Bold" w:cs="Theinhardt Bold"/>
          <w:b/>
          <w:bCs/>
          <w:sz w:val="2"/>
          <w:szCs w:val="2"/>
        </w:rPr>
      </w:pPr>
    </w:p>
    <w:p w14:paraId="7267142F" w14:textId="77777777" w:rsidR="008C0A7A" w:rsidRDefault="00953CA7">
      <w:pPr>
        <w:tabs>
          <w:tab w:val="left" w:pos="5467"/>
        </w:tabs>
        <w:spacing w:line="200" w:lineRule="atLeast"/>
        <w:ind w:left="110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/>
          <w:noProof/>
          <w:sz w:val="20"/>
        </w:rPr>
        <w:drawing>
          <wp:inline distT="0" distB="0" distL="0" distR="0" wp14:anchorId="3DE86F83" wp14:editId="190AC4D7">
            <wp:extent cx="3257700" cy="2391727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700" cy="2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  <w:tab/>
      </w:r>
      <w:r>
        <w:rPr>
          <w:rFonts w:ascii="Theinhardt Bold"/>
          <w:noProof/>
          <w:position w:val="10"/>
          <w:sz w:val="20"/>
        </w:rPr>
        <w:drawing>
          <wp:inline distT="0" distB="0" distL="0" distR="0" wp14:anchorId="4D2E3430" wp14:editId="0094E53E">
            <wp:extent cx="3169738" cy="2327148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738" cy="232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E3559" w14:textId="77777777" w:rsidR="008C0A7A" w:rsidRDefault="00953CA7">
      <w:pPr>
        <w:tabs>
          <w:tab w:val="left" w:pos="5466"/>
        </w:tabs>
        <w:spacing w:before="16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b/>
          <w:color w:val="231F20"/>
          <w:sz w:val="14"/>
        </w:rPr>
        <w:tab/>
        <w:t>3</w:t>
      </w:r>
    </w:p>
    <w:p w14:paraId="3FD19549" w14:textId="77777777" w:rsidR="008C0A7A" w:rsidRDefault="008C0A7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658F865" w14:textId="77777777" w:rsidR="008C0A7A" w:rsidRDefault="008C0A7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E3E2396" w14:textId="77777777" w:rsidR="008C0A7A" w:rsidRDefault="008C0A7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0E83D16" w14:textId="77777777" w:rsidR="008C0A7A" w:rsidRDefault="008C0A7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87C37C1" w14:textId="77777777" w:rsidR="008C0A7A" w:rsidRDefault="008C0A7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073BAE2" w14:textId="77777777" w:rsidR="008C0A7A" w:rsidRDefault="008C0A7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2D54CC9" w14:textId="77777777" w:rsidR="008C0A7A" w:rsidRDefault="008C0A7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BEFAF4F" w14:textId="77777777" w:rsidR="008C0A7A" w:rsidRDefault="008C0A7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5253FF2" w14:textId="77777777" w:rsidR="008C0A7A" w:rsidRDefault="008C0A7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112DD04" w14:textId="77777777" w:rsidR="008C0A7A" w:rsidRDefault="008C0A7A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6BB59B79" w14:textId="77777777" w:rsidR="008C0A7A" w:rsidRDefault="008C0A7A">
      <w:pPr>
        <w:spacing w:before="11"/>
        <w:rPr>
          <w:rFonts w:ascii="Theinhardt Bold" w:eastAsia="Theinhardt Bold" w:hAnsi="Theinhardt Bold" w:cs="Theinhardt Bold"/>
          <w:b/>
          <w:bCs/>
          <w:sz w:val="27"/>
          <w:szCs w:val="27"/>
        </w:rPr>
      </w:pPr>
    </w:p>
    <w:p w14:paraId="311A5390" w14:textId="77777777" w:rsidR="008C0A7A" w:rsidRDefault="008C0A7A">
      <w:pPr>
        <w:rPr>
          <w:rFonts w:ascii="Theinhardt Bold" w:eastAsia="Theinhardt Bold" w:hAnsi="Theinhardt Bold" w:cs="Theinhardt Bold"/>
          <w:sz w:val="27"/>
          <w:szCs w:val="27"/>
        </w:rPr>
        <w:sectPr w:rsidR="008C0A7A">
          <w:pgSz w:w="11910" w:h="16840"/>
          <w:pgMar w:top="860" w:right="460" w:bottom="280" w:left="740" w:header="720" w:footer="720" w:gutter="0"/>
          <w:cols w:space="720"/>
        </w:sectPr>
      </w:pPr>
    </w:p>
    <w:p w14:paraId="5A0496A6" w14:textId="77777777" w:rsidR="008C0A7A" w:rsidRDefault="00953CA7">
      <w:pPr>
        <w:numPr>
          <w:ilvl w:val="0"/>
          <w:numId w:val="1"/>
        </w:numPr>
        <w:tabs>
          <w:tab w:val="left" w:pos="338"/>
        </w:tabs>
        <w:spacing w:before="76" w:line="160" w:lineRule="exact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Grâce</w:t>
      </w:r>
      <w:r>
        <w:rPr>
          <w:rFonts w:ascii="Theinhardt Bold" w:hAnsi="Theinhardt Bold"/>
          <w:b/>
          <w:color w:val="231F20"/>
          <w:spacing w:val="-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à</w:t>
      </w:r>
      <w:r>
        <w:rPr>
          <w:rFonts w:ascii="Theinhardt Bold" w:hAnsi="Theinhardt Bold"/>
          <w:b/>
          <w:color w:val="231F20"/>
          <w:spacing w:val="-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une</w:t>
      </w:r>
      <w:r>
        <w:rPr>
          <w:rFonts w:ascii="Theinhardt Bold" w:hAnsi="Theinhardt Bold"/>
          <w:b/>
          <w:color w:val="231F20"/>
          <w:spacing w:val="-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isolation</w:t>
      </w:r>
      <w:r>
        <w:rPr>
          <w:rFonts w:ascii="Theinhardt Bold" w:hAnsi="Theinhardt Bold"/>
          <w:b/>
          <w:color w:val="231F20"/>
          <w:spacing w:val="-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au</w:t>
      </w:r>
      <w:r>
        <w:rPr>
          <w:rFonts w:ascii="Theinhardt Bold" w:hAnsi="Theinhardt Bold"/>
          <w:b/>
          <w:color w:val="231F20"/>
          <w:spacing w:val="-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standard</w:t>
      </w:r>
      <w:r>
        <w:rPr>
          <w:rFonts w:ascii="Theinhardt Bold" w:hAnsi="Theinhardt Bold"/>
          <w:b/>
          <w:color w:val="231F20"/>
          <w:spacing w:val="-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Minergie-P</w:t>
      </w:r>
      <w:r>
        <w:rPr>
          <w:rFonts w:ascii="Theinhardt Bold" w:hAnsi="Theinhardt Bold"/>
          <w:b/>
          <w:color w:val="231F20"/>
          <w:spacing w:val="-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et</w:t>
      </w:r>
      <w:r>
        <w:rPr>
          <w:rFonts w:ascii="Theinhardt Bold" w:hAnsi="Theinhardt Bold"/>
          <w:b/>
          <w:color w:val="231F20"/>
          <w:spacing w:val="-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à</w:t>
      </w:r>
      <w:r>
        <w:rPr>
          <w:rFonts w:ascii="Theinhardt Bold" w:hAnsi="Theinhardt Bold"/>
          <w:b/>
          <w:color w:val="231F20"/>
          <w:spacing w:val="32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une</w:t>
      </w:r>
      <w:r>
        <w:rPr>
          <w:rFonts w:ascii="Theinhardt Bold" w:hAnsi="Theinhardt Bold"/>
          <w:b/>
          <w:color w:val="231F20"/>
          <w:spacing w:val="18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installation</w:t>
      </w:r>
      <w:r>
        <w:rPr>
          <w:rFonts w:ascii="Theinhardt Bold" w:hAnsi="Theinhardt Bold"/>
          <w:b/>
          <w:color w:val="231F20"/>
          <w:spacing w:val="18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photovoltaïque</w:t>
      </w:r>
      <w:r>
        <w:rPr>
          <w:rFonts w:ascii="Theinhardt Bold" w:hAnsi="Theinhardt Bold"/>
          <w:b/>
          <w:color w:val="231F20"/>
          <w:spacing w:val="18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orientée</w:t>
      </w:r>
      <w:r>
        <w:rPr>
          <w:rFonts w:ascii="Theinhardt Bold" w:hAnsi="Theinhardt Bold"/>
          <w:b/>
          <w:color w:val="231F20"/>
          <w:spacing w:val="18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est-ou-</w:t>
      </w:r>
      <w:r>
        <w:rPr>
          <w:rFonts w:ascii="Theinhardt Bold" w:hAnsi="Theinhardt Bold"/>
          <w:b/>
          <w:color w:val="231F20"/>
          <w:spacing w:val="48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est,</w:t>
      </w:r>
      <w:r>
        <w:rPr>
          <w:rFonts w:ascii="Theinhardt Bold" w:hAnsi="Theinhardt Bold"/>
          <w:b/>
          <w:color w:val="231F20"/>
          <w:spacing w:val="9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le</w:t>
      </w:r>
      <w:r>
        <w:rPr>
          <w:rFonts w:ascii="Theinhardt Bold" w:hAnsi="Theinhardt Bold"/>
          <w:b/>
          <w:color w:val="231F20"/>
          <w:spacing w:val="15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lotissement</w:t>
      </w:r>
      <w:r>
        <w:rPr>
          <w:rFonts w:ascii="Theinhardt Bold" w:hAnsi="Theinhardt Bold"/>
          <w:b/>
          <w:color w:val="231F20"/>
          <w:spacing w:val="15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BEP</w:t>
      </w:r>
      <w:r>
        <w:rPr>
          <w:rFonts w:ascii="Theinhardt Bold" w:hAnsi="Theinhardt Bold"/>
          <w:b/>
          <w:color w:val="231F20"/>
          <w:spacing w:val="15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atteint</w:t>
      </w:r>
      <w:r>
        <w:rPr>
          <w:rFonts w:ascii="Theinhardt Bold" w:hAnsi="Theinhardt Bold"/>
          <w:b/>
          <w:color w:val="231F20"/>
          <w:spacing w:val="15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une</w:t>
      </w:r>
      <w:r>
        <w:rPr>
          <w:rFonts w:ascii="Theinhardt Bold" w:hAnsi="Theinhardt Bold"/>
          <w:b/>
          <w:color w:val="231F20"/>
          <w:spacing w:val="15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autoproduc-</w:t>
      </w:r>
      <w:r>
        <w:rPr>
          <w:rFonts w:ascii="Theinhardt Bold" w:hAnsi="Theinhardt Bold"/>
          <w:b/>
          <w:color w:val="231F20"/>
          <w:spacing w:val="40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tion </w:t>
      </w:r>
      <w:r>
        <w:rPr>
          <w:rFonts w:ascii="Theinhardt Bold" w:hAnsi="Theinhardt Bold"/>
          <w:b/>
          <w:color w:val="231F20"/>
          <w:spacing w:val="-1"/>
          <w:sz w:val="14"/>
        </w:rPr>
        <w:t>de</w:t>
      </w:r>
      <w:r>
        <w:rPr>
          <w:rFonts w:ascii="Theinhardt Bold" w:hAnsi="Theinhardt Bold"/>
          <w:b/>
          <w:color w:val="231F20"/>
          <w:sz w:val="14"/>
        </w:rPr>
        <w:t xml:space="preserve"> 157%.</w:t>
      </w:r>
    </w:p>
    <w:p w14:paraId="7D144840" w14:textId="77777777" w:rsidR="008C0A7A" w:rsidRDefault="00953CA7">
      <w:pPr>
        <w:numPr>
          <w:ilvl w:val="0"/>
          <w:numId w:val="1"/>
        </w:numPr>
        <w:tabs>
          <w:tab w:val="left" w:pos="338"/>
        </w:tabs>
        <w:spacing w:before="76" w:line="160" w:lineRule="exact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En</w:t>
      </w:r>
      <w:r>
        <w:rPr>
          <w:rFonts w:ascii="Theinhardt Bold" w:eastAsia="Theinhardt Bold" w:hAnsi="Theinhardt Bold" w:cs="Theinhardt Bold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toiture,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l’installation</w:t>
      </w:r>
      <w:r>
        <w:rPr>
          <w:rFonts w:ascii="Theinhardt Bold" w:eastAsia="Theinhardt Bold" w:hAnsi="Theinhardt Bold" w:cs="Theinhardt Bold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eastAsia="Theinhardt Bold" w:hAnsi="Theinhardt Bold" w:cs="Theinhardt Bold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50,7</w:t>
      </w:r>
      <w:r>
        <w:rPr>
          <w:rFonts w:ascii="Theinhardt Bold" w:eastAsia="Theinhardt Bold" w:hAnsi="Theinhardt Bold" w:cs="Theinhardt Bold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kW</w:t>
      </w:r>
      <w:r>
        <w:rPr>
          <w:rFonts w:ascii="Theinhardt Bold" w:eastAsia="Theinhardt Bold" w:hAnsi="Theinhardt Bold" w:cs="Theinhardt Bold"/>
          <w:b/>
          <w:bCs/>
          <w:color w:val="231F20"/>
          <w:spacing w:val="2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génère</w:t>
      </w:r>
      <w:r>
        <w:rPr>
          <w:rFonts w:ascii="Theinhardt Bold" w:eastAsia="Theinhardt Bold" w:hAnsi="Theinhardt Bold" w:cs="Theinhardt Bold"/>
          <w:b/>
          <w:bCs/>
          <w:color w:val="231F20"/>
          <w:spacing w:val="2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43’300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et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couvre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la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consommation</w:t>
      </w:r>
      <w:r>
        <w:rPr>
          <w:rFonts w:ascii="Theinhardt Bold" w:eastAsia="Theinhardt Bold" w:hAnsi="Theinhardt Bold" w:cs="Theinhardt Bold"/>
          <w:b/>
          <w:bCs/>
          <w:color w:val="231F20"/>
          <w:spacing w:val="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totale</w:t>
      </w:r>
      <w:r>
        <w:rPr>
          <w:rFonts w:ascii="Theinhardt Bold" w:eastAsia="Theinhardt Bold" w:hAnsi="Theinhardt Bold" w:cs="Theinhardt Bold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des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quatre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villas qui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s’élève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à 27’600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kWh/a.</w:t>
      </w:r>
    </w:p>
    <w:p w14:paraId="0E24B950" w14:textId="77777777" w:rsidR="008C0A7A" w:rsidRDefault="00953CA7">
      <w:pPr>
        <w:numPr>
          <w:ilvl w:val="0"/>
          <w:numId w:val="1"/>
        </w:numPr>
        <w:tabs>
          <w:tab w:val="left" w:pos="338"/>
        </w:tabs>
        <w:spacing w:before="86" w:line="207" w:lineRule="auto"/>
        <w:ind w:right="104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4"/>
          <w:szCs w:val="14"/>
        </w:rPr>
        <w:t>L’excédent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solaire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15’700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alimente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les</w:t>
      </w:r>
      <w:r>
        <w:rPr>
          <w:rFonts w:ascii="Theinhardt Bold" w:eastAsia="Theinhardt Bold" w:hAnsi="Theinhardt Bold" w:cs="Theinhardt Bold"/>
          <w:b/>
          <w:bCs/>
          <w:color w:val="231F20"/>
          <w:spacing w:val="2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quatre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voitures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électriques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familles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résiden-</w:t>
      </w:r>
      <w:r>
        <w:rPr>
          <w:rFonts w:ascii="Theinhardt Bold" w:eastAsia="Theinhardt Bold" w:hAnsi="Theinhardt Bold" w:cs="Theinhardt Bold"/>
          <w:b/>
          <w:bCs/>
          <w:color w:val="231F20"/>
          <w:spacing w:val="4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tes,</w:t>
      </w:r>
      <w:r>
        <w:rPr>
          <w:rFonts w:ascii="Theinhardt Bold" w:eastAsia="Theinhardt Bold" w:hAnsi="Theinhardt Bold" w:cs="Theinhardt Bold"/>
          <w:b/>
          <w:bCs/>
          <w:color w:val="231F20"/>
          <w:spacing w:val="-1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mais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permettrait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encore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à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sept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autres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e-véhi-</w:t>
      </w:r>
      <w:r>
        <w:rPr>
          <w:rFonts w:ascii="Theinhardt Bold" w:eastAsia="Theinhardt Bold" w:hAnsi="Theinhardt Bold" w:cs="Theinhardt Bold"/>
          <w:b/>
          <w:bCs/>
          <w:color w:val="231F20"/>
          <w:spacing w:val="26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cules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parcourir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chacun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12’000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km/a</w:t>
      </w:r>
      <w:r>
        <w:rPr>
          <w:rFonts w:ascii="Theinhardt Bold" w:eastAsia="Theinhardt Bold" w:hAnsi="Theinhardt Bold" w:cs="Theinhardt Bold"/>
          <w:b/>
          <w:bCs/>
          <w:color w:val="231F20"/>
          <w:spacing w:val="1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sans</w:t>
      </w:r>
      <w:r>
        <w:rPr>
          <w:rFonts w:ascii="Theinhardt Bold" w:eastAsia="Theinhardt Bold" w:hAnsi="Theinhardt Bold" w:cs="Theinhardt Bold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émettre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CO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-4"/>
          <w:sz w:val="8"/>
          <w:szCs w:val="8"/>
        </w:rPr>
        <w:t>2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.</w:t>
      </w:r>
    </w:p>
    <w:p w14:paraId="31E5E17E" w14:textId="77777777" w:rsidR="008C0A7A" w:rsidRDefault="008C0A7A">
      <w:pPr>
        <w:spacing w:line="207" w:lineRule="auto"/>
        <w:jc w:val="both"/>
        <w:rPr>
          <w:rFonts w:ascii="Theinhardt Bold" w:eastAsia="Theinhardt Bold" w:hAnsi="Theinhardt Bold" w:cs="Theinhardt Bold"/>
          <w:sz w:val="14"/>
          <w:szCs w:val="14"/>
        </w:rPr>
        <w:sectPr w:rsidR="008C0A7A">
          <w:type w:val="continuous"/>
          <w:pgSz w:w="11910" w:h="16840"/>
          <w:pgMar w:top="840" w:right="460" w:bottom="280" w:left="740" w:header="720" w:footer="720" w:gutter="0"/>
          <w:cols w:num="3" w:space="720" w:equalWidth="0">
            <w:col w:w="3456" w:space="116"/>
            <w:col w:w="3456" w:space="115"/>
            <w:col w:w="3567"/>
          </w:cols>
        </w:sectPr>
      </w:pPr>
    </w:p>
    <w:p w14:paraId="5B0877C9" w14:textId="77777777" w:rsidR="008C0A7A" w:rsidRDefault="008C0A7A">
      <w:pPr>
        <w:spacing w:before="8"/>
        <w:rPr>
          <w:rFonts w:ascii="Theinhardt Bold" w:eastAsia="Theinhardt Bold" w:hAnsi="Theinhardt Bold" w:cs="Theinhardt Bold"/>
          <w:b/>
          <w:bCs/>
          <w:sz w:val="23"/>
          <w:szCs w:val="23"/>
        </w:rPr>
      </w:pPr>
    </w:p>
    <w:p w14:paraId="6EE85221" w14:textId="77777777" w:rsidR="008C0A7A" w:rsidRDefault="00953CA7">
      <w:pPr>
        <w:spacing w:before="70"/>
        <w:ind w:left="666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2021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25</w:t>
      </w:r>
    </w:p>
    <w:sectPr w:rsidR="008C0A7A">
      <w:type w:val="continuous"/>
      <w:pgSz w:w="11910" w:h="16840"/>
      <w:pgMar w:top="840" w:right="4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einhardt Bold">
    <w:altName w:val="Theinhardt Bold"/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altName w:val="Theinhardt Regular"/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altName w:val="Theinhardt Black"/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337D9"/>
    <w:multiLevelType w:val="hybridMultilevel"/>
    <w:tmpl w:val="8A0EE4D8"/>
    <w:lvl w:ilvl="0" w:tplc="BEB0EBE2">
      <w:start w:val="1"/>
      <w:numFmt w:val="decimal"/>
      <w:lvlText w:val="%1"/>
      <w:lvlJc w:val="left"/>
      <w:pPr>
        <w:ind w:left="337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FCF8531C">
      <w:start w:val="1"/>
      <w:numFmt w:val="bullet"/>
      <w:lvlText w:val="•"/>
      <w:lvlJc w:val="left"/>
      <w:pPr>
        <w:ind w:left="649" w:hanging="227"/>
      </w:pPr>
      <w:rPr>
        <w:rFonts w:hint="default"/>
      </w:rPr>
    </w:lvl>
    <w:lvl w:ilvl="2" w:tplc="ED02E61A">
      <w:start w:val="1"/>
      <w:numFmt w:val="bullet"/>
      <w:lvlText w:val="•"/>
      <w:lvlJc w:val="left"/>
      <w:pPr>
        <w:ind w:left="960" w:hanging="227"/>
      </w:pPr>
      <w:rPr>
        <w:rFonts w:hint="default"/>
      </w:rPr>
    </w:lvl>
    <w:lvl w:ilvl="3" w:tplc="F2703A34">
      <w:start w:val="1"/>
      <w:numFmt w:val="bullet"/>
      <w:lvlText w:val="•"/>
      <w:lvlJc w:val="left"/>
      <w:pPr>
        <w:ind w:left="1272" w:hanging="227"/>
      </w:pPr>
      <w:rPr>
        <w:rFonts w:hint="default"/>
      </w:rPr>
    </w:lvl>
    <w:lvl w:ilvl="4" w:tplc="25D0267A">
      <w:start w:val="1"/>
      <w:numFmt w:val="bullet"/>
      <w:lvlText w:val="•"/>
      <w:lvlJc w:val="left"/>
      <w:pPr>
        <w:ind w:left="1584" w:hanging="227"/>
      </w:pPr>
      <w:rPr>
        <w:rFonts w:hint="default"/>
      </w:rPr>
    </w:lvl>
    <w:lvl w:ilvl="5" w:tplc="8A26731E">
      <w:start w:val="1"/>
      <w:numFmt w:val="bullet"/>
      <w:lvlText w:val="•"/>
      <w:lvlJc w:val="left"/>
      <w:pPr>
        <w:ind w:left="1896" w:hanging="227"/>
      </w:pPr>
      <w:rPr>
        <w:rFonts w:hint="default"/>
      </w:rPr>
    </w:lvl>
    <w:lvl w:ilvl="6" w:tplc="C194EF9C">
      <w:start w:val="1"/>
      <w:numFmt w:val="bullet"/>
      <w:lvlText w:val="•"/>
      <w:lvlJc w:val="left"/>
      <w:pPr>
        <w:ind w:left="2208" w:hanging="227"/>
      </w:pPr>
      <w:rPr>
        <w:rFonts w:hint="default"/>
      </w:rPr>
    </w:lvl>
    <w:lvl w:ilvl="7" w:tplc="FC167E50">
      <w:start w:val="1"/>
      <w:numFmt w:val="bullet"/>
      <w:lvlText w:val="•"/>
      <w:lvlJc w:val="left"/>
      <w:pPr>
        <w:ind w:left="2520" w:hanging="227"/>
      </w:pPr>
      <w:rPr>
        <w:rFonts w:hint="default"/>
      </w:rPr>
    </w:lvl>
    <w:lvl w:ilvl="8" w:tplc="3E163758">
      <w:start w:val="1"/>
      <w:numFmt w:val="bullet"/>
      <w:lvlText w:val="•"/>
      <w:lvlJc w:val="left"/>
      <w:pPr>
        <w:ind w:left="2831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0A7A"/>
    <w:rsid w:val="008C0A7A"/>
    <w:rsid w:val="0095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;"/>
  <w14:docId w14:val="441E093F"/>
  <w15:docId w15:val="{C64D2C7D-BA75-4AB3-87FC-CCDB30E3B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13" w:firstLine="226"/>
    </w:pPr>
    <w:rPr>
      <w:rFonts w:ascii="Theinhardt Regular" w:eastAsia="Theinhardt Regular" w:hAnsi="Theinhardt Regular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gor.correia@ai4.ch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www.ai4.ch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homsphere.com" TargetMode="Externa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mailto:g.berweiler@efficience-energie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fficience-energie.ch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956</Words>
  <Characters>6024</Characters>
  <Application>Microsoft Office Word</Application>
  <DocSecurity>0</DocSecurity>
  <Lines>50</Lines>
  <Paragraphs>13</Paragraphs>
  <ScaleCrop>false</ScaleCrop>
  <Company/>
  <LinksUpToDate>false</LinksUpToDate>
  <CharactersWithSpaces>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sgsof4</cp:lastModifiedBy>
  <cp:revision>2</cp:revision>
  <dcterms:created xsi:type="dcterms:W3CDTF">2021-10-19T14:02:00Z</dcterms:created>
  <dcterms:modified xsi:type="dcterms:W3CDTF">2021-10-19T12:03:00Z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LastSaved">
    <vt:filetime>2021-10-19T00:00:00Z</vt:filetime>
  </property>
</Properties>
</file>