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5103EB" w14:textId="77777777" w:rsidR="009B6FE4" w:rsidRDefault="006522BF">
      <w:pPr>
        <w:tabs>
          <w:tab w:val="left" w:pos="2546"/>
        </w:tabs>
        <w:spacing w:before="28" w:line="230" w:lineRule="exact"/>
        <w:ind w:left="106"/>
        <w:rPr>
          <w:rFonts w:ascii="Theinhardt Regular" w:eastAsia="Theinhardt Regular" w:hAnsi="Theinhardt Regular" w:cs="Theinhardt Regular"/>
          <w:sz w:val="18"/>
          <w:szCs w:val="18"/>
        </w:rPr>
      </w:pPr>
      <w:r>
        <w:pict w14:anchorId="5C93F3C1">
          <v:group id="_x0000_s1057" style="position:absolute;left:0;text-align:left;margin-left:28.55pt;margin-top:13.65pt;width:.1pt;height:.1pt;z-index:-5080;mso-position-horizontal-relative:page" coordorigin="571,273" coordsize="2,2">
            <v:shape id="_x0000_s1058" style="position:absolute;left:571;top:273;width:2;height:2" coordorigin="571,273" coordsize="0,0" path="m571,273r,e" filled="f" strokecolor="#231f20" strokeweight=".14994mm">
              <v:path arrowok="t"/>
            </v:shape>
            <w10:wrap anchorx="page"/>
          </v:group>
        </w:pict>
      </w:r>
      <w:r>
        <w:pict w14:anchorId="32FB2707">
          <v:group id="_x0000_s1055" style="position:absolute;left:0;text-align:left;margin-left:150.75pt;margin-top:13.65pt;width:.1pt;height:.1pt;z-index:1144;mso-position-horizontal-relative:page" coordorigin="3015,273" coordsize="2,2">
            <v:shape id="_x0000_s1056" style="position:absolute;left:3015;top:273;width:2;height:2" coordorigin="3015,273" coordsize="0,0" path="m3015,273r,e" filled="f" strokecolor="#231f20" strokeweight=".14994mm">
              <v:path arrowok="t"/>
            </v:shape>
            <w10:wrap anchorx="page"/>
          </v:group>
        </w:pict>
      </w:r>
      <w:r>
        <w:pict w14:anchorId="6815114E">
          <v:group id="_x0000_s1048" style="position:absolute;left:0;text-align:left;margin-left:28.35pt;margin-top:24.95pt;width:122.6pt;height:.45pt;z-index:-5032;mso-position-horizontal-relative:page" coordorigin="567,499" coordsize="2452,9">
            <v:group id="_x0000_s1053" style="position:absolute;left:588;top:503;width:2418;height:2" coordorigin="588,503" coordsize="2418,2">
              <v:shape id="_x0000_s1054" style="position:absolute;left:588;top:503;width:2418;height:2" coordorigin="588,503" coordsize="2418,0" path="m588,503r2418,e" filled="f" strokecolor="#231f20" strokeweight=".14994mm">
                <v:stroke dashstyle="dash"/>
                <v:path arrowok="t"/>
              </v:shape>
            </v:group>
            <v:group id="_x0000_s1051" style="position:absolute;left:571;top:503;width:2;height:2" coordorigin="571,503" coordsize="2,2">
              <v:shape id="_x0000_s1052" style="position:absolute;left:571;top:503;width:2;height:2" coordorigin="571,503" coordsize="0,0" path="m571,503r,e" filled="f" strokecolor="#231f20" strokeweight=".14994mm">
                <v:path arrowok="t"/>
              </v:shape>
            </v:group>
            <v:group id="_x0000_s1049" style="position:absolute;left:3015;top:503;width:2;height:2" coordorigin="3015,503" coordsize="2,2">
              <v:shape id="_x0000_s1050" style="position:absolute;left:3015;top:503;width:2;height:2" coordorigin="3015,503" coordsize="0,0" path="m3015,503r,e" filled="f" strokecolor="#231f20" strokeweight=".14994mm">
                <v:path arrowok="t"/>
              </v:shape>
            </v:group>
            <w10:wrap anchorx="page"/>
          </v:group>
        </w:pict>
      </w:r>
      <w:r>
        <w:pict w14:anchorId="0B45CE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7" type="#_x0000_t75" style="position:absolute;left:0;text-align:left;margin-left:28.35pt;margin-top:52.4pt;width:82.2pt;height:58.3pt;z-index:1192;mso-position-horizontal-relative:page">
            <v:imagedata r:id="rId4" o:title=""/>
            <w10:wrap anchorx="page"/>
          </v:shape>
        </w:pict>
      </w:r>
      <w:r>
        <w:rPr>
          <w:rFonts w:ascii="Theinhardt Heavy" w:hAnsi="Theinhardt Heavy"/>
          <w:b/>
          <w:color w:val="231F20"/>
          <w:sz w:val="18"/>
          <w:u w:val="dotted" w:color="231F20"/>
        </w:rPr>
        <w:t xml:space="preserve">Catégorie C </w:t>
      </w:r>
      <w:r>
        <w:rPr>
          <w:rFonts w:ascii="Theinhardt Heavy" w:hAnsi="Theinhardt Heavy"/>
          <w:b/>
          <w:color w:val="231F20"/>
          <w:sz w:val="18"/>
          <w:u w:val="dotted" w:color="231F20"/>
        </w:rPr>
        <w:tab/>
      </w:r>
      <w:r>
        <w:rPr>
          <w:rFonts w:ascii="Theinhardt Heavy" w:hAnsi="Theinhardt Heavy"/>
          <w:b/>
          <w:color w:val="231F20"/>
          <w:spacing w:val="26"/>
          <w:sz w:val="18"/>
        </w:rPr>
        <w:t xml:space="preserve"> </w:t>
      </w:r>
      <w:r>
        <w:rPr>
          <w:rFonts w:ascii="Theinhardt Heavy" w:hAnsi="Theinhardt Heavy"/>
          <w:b/>
          <w:color w:val="231F20"/>
          <w:sz w:val="18"/>
        </w:rPr>
        <w:t xml:space="preserve">Installations </w:t>
      </w:r>
      <w:r>
        <w:rPr>
          <w:rFonts w:ascii="Theinhardt Heavy" w:hAnsi="Theinhardt Heavy"/>
          <w:b/>
          <w:color w:val="231F20"/>
          <w:spacing w:val="-1"/>
          <w:sz w:val="18"/>
        </w:rPr>
        <w:t>énergétiques</w:t>
      </w:r>
      <w:r>
        <w:rPr>
          <w:rFonts w:ascii="Theinhardt Heavy" w:hAnsi="Theinhardt Heavy"/>
          <w:b/>
          <w:color w:val="231F20"/>
          <w:spacing w:val="38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Prix</w:t>
      </w:r>
      <w:r>
        <w:rPr>
          <w:rFonts w:ascii="Theinhardt Regular" w:hAnsi="Theinhardt Regular"/>
          <w:color w:val="231F20"/>
          <w:spacing w:val="-4"/>
          <w:sz w:val="18"/>
        </w:rPr>
        <w:t xml:space="preserve"> </w:t>
      </w:r>
      <w:r>
        <w:rPr>
          <w:rFonts w:ascii="Theinhardt Regular" w:hAnsi="Theinhardt Regular"/>
          <w:color w:val="231F20"/>
          <w:spacing w:val="-3"/>
          <w:sz w:val="18"/>
        </w:rPr>
        <w:t>Solaire</w:t>
      </w:r>
      <w:r>
        <w:rPr>
          <w:rFonts w:ascii="Theinhardt Regular" w:hAnsi="Theinhardt Regular"/>
          <w:color w:val="231F20"/>
          <w:spacing w:val="-4"/>
          <w:sz w:val="18"/>
        </w:rPr>
        <w:t xml:space="preserve"> </w:t>
      </w:r>
      <w:r>
        <w:rPr>
          <w:rFonts w:ascii="Theinhardt Regular" w:hAnsi="Theinhardt Regular"/>
          <w:color w:val="231F20"/>
          <w:spacing w:val="-1"/>
          <w:sz w:val="18"/>
        </w:rPr>
        <w:t>Bâtiments</w:t>
      </w:r>
      <w:r>
        <w:rPr>
          <w:rFonts w:ascii="Theinhardt Regular" w:hAnsi="Theinhardt Regular"/>
          <w:color w:val="231F20"/>
          <w:spacing w:val="-4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à</w:t>
      </w:r>
      <w:r>
        <w:rPr>
          <w:rFonts w:ascii="Theinhardt Regular" w:hAnsi="Theinhardt Regular"/>
          <w:color w:val="231F20"/>
          <w:spacing w:val="-4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Énergie</w:t>
      </w:r>
      <w:r>
        <w:rPr>
          <w:rFonts w:ascii="Theinhardt Regular" w:hAnsi="Theinhardt Regular"/>
          <w:color w:val="231F20"/>
          <w:spacing w:val="27"/>
          <w:sz w:val="18"/>
        </w:rPr>
        <w:t xml:space="preserve"> </w:t>
      </w:r>
      <w:r>
        <w:rPr>
          <w:rFonts w:ascii="Theinhardt Regular" w:hAnsi="Theinhardt Regular"/>
          <w:color w:val="231F20"/>
          <w:spacing w:val="-1"/>
          <w:sz w:val="18"/>
        </w:rPr>
        <w:t>Positive</w:t>
      </w:r>
      <w:r>
        <w:rPr>
          <w:rFonts w:ascii="Theinhardt Regular" w:hAnsi="Theinhardt Regular"/>
          <w:color w:val="231F20"/>
          <w:spacing w:val="-1"/>
          <w:position w:val="6"/>
          <w:sz w:val="10"/>
        </w:rPr>
        <w:t>®</w:t>
      </w:r>
      <w:r>
        <w:rPr>
          <w:rFonts w:ascii="Theinhardt Regular" w:hAnsi="Theinhardt Regular"/>
          <w:color w:val="231F20"/>
          <w:spacing w:val="24"/>
          <w:position w:val="6"/>
          <w:sz w:val="10"/>
        </w:rPr>
        <w:t xml:space="preserve"> </w:t>
      </w:r>
      <w:r>
        <w:rPr>
          <w:rFonts w:ascii="Theinhardt Regular" w:hAnsi="Theinhardt Regular"/>
          <w:color w:val="231F20"/>
          <w:sz w:val="18"/>
        </w:rPr>
        <w:t>2021</w:t>
      </w:r>
    </w:p>
    <w:p w14:paraId="560FFDBA" w14:textId="77777777" w:rsidR="009B6FE4" w:rsidRDefault="006522BF">
      <w:pPr>
        <w:spacing w:before="24" w:line="230" w:lineRule="exact"/>
        <w:ind w:left="106" w:right="100"/>
        <w:jc w:val="both"/>
        <w:rPr>
          <w:rFonts w:ascii="Theinhardt Bold" w:eastAsia="Theinhardt Bold" w:hAnsi="Theinhardt Bold" w:cs="Theinhardt Bold"/>
          <w:sz w:val="18"/>
          <w:szCs w:val="18"/>
        </w:rPr>
      </w:pPr>
      <w:r>
        <w:br w:type="column"/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Au</w:t>
      </w:r>
      <w:r>
        <w:rPr>
          <w:rFonts w:ascii="Theinhardt Bold" w:eastAsia="Theinhardt Bold" w:hAnsi="Theinhardt Bold" w:cs="Theinhardt Bold"/>
          <w:b/>
          <w:bCs/>
          <w:color w:val="231F20"/>
          <w:spacing w:val="1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Comptoir</w:t>
      </w:r>
      <w:r>
        <w:rPr>
          <w:rFonts w:ascii="Theinhardt Bold" w:eastAsia="Theinhardt Bold" w:hAnsi="Theinhardt Bold" w:cs="Theinhardt Bold"/>
          <w:b/>
          <w:bCs/>
          <w:color w:val="231F20"/>
          <w:spacing w:val="1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de</w:t>
      </w:r>
      <w:r>
        <w:rPr>
          <w:rFonts w:ascii="Theinhardt Bold" w:eastAsia="Theinhardt Bold" w:hAnsi="Theinhardt Bold" w:cs="Theinhardt Bold"/>
          <w:b/>
          <w:bCs/>
          <w:color w:val="231F20"/>
          <w:spacing w:val="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Tramelan</w:t>
      </w:r>
      <w:r>
        <w:rPr>
          <w:rFonts w:ascii="Theinhardt Bold" w:eastAsia="Theinhardt Bold" w:hAnsi="Theinhardt Bold" w:cs="Theinhardt Bold"/>
          <w:b/>
          <w:bCs/>
          <w:color w:val="231F20"/>
          <w:spacing w:val="1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2018,</w:t>
      </w:r>
      <w:r>
        <w:rPr>
          <w:rFonts w:ascii="Theinhardt Bold" w:eastAsia="Theinhardt Bold" w:hAnsi="Theinhardt Bold" w:cs="Theinhardt Bold"/>
          <w:b/>
          <w:bCs/>
          <w:color w:val="231F20"/>
          <w:spacing w:val="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la</w:t>
      </w:r>
      <w:r>
        <w:rPr>
          <w:rFonts w:ascii="Theinhardt Bold" w:eastAsia="Theinhardt Bold" w:hAnsi="Theinhardt Bold" w:cs="Theinhardt Bold"/>
          <w:b/>
          <w:bCs/>
          <w:color w:val="231F20"/>
          <w:spacing w:val="1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commune</w:t>
      </w:r>
      <w:r>
        <w:rPr>
          <w:rFonts w:ascii="Theinhardt Bold" w:eastAsia="Theinhardt Bold" w:hAnsi="Theinhardt Bold" w:cs="Theinhardt Bold"/>
          <w:b/>
          <w:bCs/>
          <w:color w:val="231F20"/>
          <w:spacing w:val="1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a</w:t>
      </w:r>
      <w:r>
        <w:rPr>
          <w:rFonts w:ascii="Theinhardt Bold" w:eastAsia="Theinhardt Bold" w:hAnsi="Theinhardt Bold" w:cs="Theinhardt Bold"/>
          <w:b/>
          <w:bCs/>
          <w:color w:val="231F20"/>
          <w:spacing w:val="1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présenté</w:t>
      </w:r>
      <w:r>
        <w:rPr>
          <w:rFonts w:ascii="Theinhardt Bold" w:eastAsia="Theinhardt Bold" w:hAnsi="Theinhardt Bold" w:cs="Theinhardt Bold"/>
          <w:b/>
          <w:bCs/>
          <w:color w:val="231F20"/>
          <w:spacing w:val="1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un</w:t>
      </w:r>
      <w:r>
        <w:rPr>
          <w:rFonts w:ascii="Theinhardt Bold" w:eastAsia="Theinhardt Bold" w:hAnsi="Theinhardt Bold" w:cs="Theinhardt Bold"/>
          <w:b/>
          <w:bCs/>
          <w:color w:val="231F20"/>
          <w:spacing w:val="1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projet</w:t>
      </w:r>
      <w:r>
        <w:rPr>
          <w:rFonts w:ascii="Theinhardt Bold" w:eastAsia="Theinhardt Bold" w:hAnsi="Theinhardt Bold" w:cs="Theinhardt Bold"/>
          <w:b/>
          <w:bCs/>
          <w:color w:val="231F20"/>
          <w:spacing w:val="1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solaire</w:t>
      </w:r>
      <w:r>
        <w:rPr>
          <w:rFonts w:ascii="Theinhardt Bold" w:eastAsia="Theinhardt Bold" w:hAnsi="Theinhardt Bold" w:cs="Theinhardt Bold"/>
          <w:b/>
          <w:bCs/>
          <w:color w:val="231F20"/>
          <w:spacing w:val="1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auquel</w:t>
      </w:r>
      <w:r>
        <w:rPr>
          <w:rFonts w:ascii="Theinhardt Bold" w:eastAsia="Theinhardt Bold" w:hAnsi="Theinhardt Bold" w:cs="Theinhardt Bold"/>
          <w:b/>
          <w:bCs/>
          <w:color w:val="231F20"/>
          <w:spacing w:val="1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la</w:t>
      </w:r>
      <w:r>
        <w:rPr>
          <w:rFonts w:ascii="Theinhardt Bold" w:eastAsia="Theinhardt Bold" w:hAnsi="Theinhardt Bold" w:cs="Theinhardt Bold"/>
          <w:b/>
          <w:bCs/>
          <w:color w:val="231F20"/>
          <w:spacing w:val="1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population</w:t>
      </w:r>
      <w:r>
        <w:rPr>
          <w:rFonts w:ascii="Theinhardt Bold" w:eastAsia="Theinhardt Bold" w:hAnsi="Theinhardt Bold" w:cs="Theinhardt Bold"/>
          <w:b/>
          <w:bCs/>
          <w:color w:val="231F20"/>
          <w:spacing w:val="3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pouvait</w:t>
      </w:r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participer</w:t>
      </w:r>
      <w:r>
        <w:rPr>
          <w:rFonts w:ascii="Theinhardt Bold" w:eastAsia="Theinhardt Bold" w:hAnsi="Theinhardt Bold" w:cs="Theinhardt Bold"/>
          <w:b/>
          <w:bCs/>
          <w:color w:val="231F20"/>
          <w:spacing w:val="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financièrement.</w:t>
      </w:r>
      <w:r>
        <w:rPr>
          <w:rFonts w:ascii="Theinhardt Bold" w:eastAsia="Theinhardt Bold" w:hAnsi="Theinhardt Bold" w:cs="Theinhardt Bold"/>
          <w:b/>
          <w:bCs/>
          <w:color w:val="231F20"/>
          <w:spacing w:val="-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4"/>
          <w:sz w:val="18"/>
          <w:szCs w:val="18"/>
        </w:rPr>
        <w:t>L’idée</w:t>
      </w:r>
      <w:r>
        <w:rPr>
          <w:rFonts w:ascii="Theinhardt Bold" w:eastAsia="Theinhardt Bold" w:hAnsi="Theinhardt Bold" w:cs="Theinhardt Bold"/>
          <w:b/>
          <w:bCs/>
          <w:color w:val="231F20"/>
          <w:spacing w:val="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de</w:t>
      </w:r>
      <w:r>
        <w:rPr>
          <w:rFonts w:ascii="Theinhardt Bold" w:eastAsia="Theinhardt Bold" w:hAnsi="Theinhardt Bold" w:cs="Theinhardt Bold"/>
          <w:b/>
          <w:bCs/>
          <w:color w:val="231F20"/>
          <w:spacing w:val="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remplacer</w:t>
      </w:r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le</w:t>
      </w:r>
      <w:r>
        <w:rPr>
          <w:rFonts w:ascii="Theinhardt Bold" w:eastAsia="Theinhardt Bold" w:hAnsi="Theinhardt Bold" w:cs="Theinhardt Bold"/>
          <w:b/>
          <w:bCs/>
          <w:color w:val="231F20"/>
          <w:spacing w:val="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toit</w:t>
      </w:r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amianté</w:t>
      </w:r>
      <w:r>
        <w:rPr>
          <w:rFonts w:ascii="Theinhardt Bold" w:eastAsia="Theinhardt Bold" w:hAnsi="Theinhardt Bold" w:cs="Theinhardt Bold"/>
          <w:b/>
          <w:bCs/>
          <w:color w:val="231F20"/>
          <w:spacing w:val="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de</w:t>
      </w:r>
      <w:r>
        <w:rPr>
          <w:rFonts w:ascii="Theinhardt Bold" w:eastAsia="Theinhardt Bold" w:hAnsi="Theinhardt Bold" w:cs="Theinhardt Bold"/>
          <w:b/>
          <w:bCs/>
          <w:color w:val="231F20"/>
          <w:spacing w:val="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la</w:t>
      </w:r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patinoire</w:t>
      </w:r>
      <w:r>
        <w:rPr>
          <w:rFonts w:ascii="Theinhardt Bold" w:eastAsia="Theinhardt Bold" w:hAnsi="Theinhardt Bold" w:cs="Theinhardt Bold"/>
          <w:b/>
          <w:bCs/>
          <w:color w:val="231F20"/>
          <w:spacing w:val="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par</w:t>
      </w:r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un</w:t>
      </w:r>
      <w:r>
        <w:rPr>
          <w:rFonts w:ascii="Theinhardt Bold" w:eastAsia="Theinhardt Bold" w:hAnsi="Theinhardt Bold" w:cs="Theinhardt Bold"/>
          <w:b/>
          <w:bCs/>
          <w:color w:val="231F20"/>
          <w:spacing w:val="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toit</w:t>
      </w:r>
      <w:r>
        <w:rPr>
          <w:rFonts w:ascii="Theinhardt Bold" w:eastAsia="Theinhardt Bold" w:hAnsi="Theinhardt Bold" w:cs="Theinhardt Bold"/>
          <w:b/>
          <w:bCs/>
          <w:color w:val="231F20"/>
          <w:spacing w:val="6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solaire</w:t>
      </w:r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avait</w:t>
      </w:r>
      <w:r>
        <w:rPr>
          <w:rFonts w:ascii="Theinhardt Bold" w:eastAsia="Theinhardt Bold" w:hAnsi="Theinhardt Bold" w:cs="Theinhardt Bold"/>
          <w:b/>
          <w:bCs/>
          <w:color w:val="231F20"/>
          <w:spacing w:val="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fait</w:t>
      </w:r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son</w:t>
      </w:r>
      <w:r>
        <w:rPr>
          <w:rFonts w:ascii="Theinhardt Bold" w:eastAsia="Theinhardt Bold" w:hAnsi="Theinhardt Bold" w:cs="Theinhardt Bold"/>
          <w:b/>
          <w:bCs/>
          <w:color w:val="231F20"/>
          <w:spacing w:val="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chemin</w:t>
      </w:r>
      <w:r>
        <w:rPr>
          <w:rFonts w:ascii="Theinhardt Bold" w:eastAsia="Theinhardt Bold" w:hAnsi="Theinhardt Bold" w:cs="Theinhardt Bold"/>
          <w:b/>
          <w:bCs/>
          <w:color w:val="231F20"/>
          <w:spacing w:val="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et</w:t>
      </w:r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c’est</w:t>
      </w:r>
      <w:r>
        <w:rPr>
          <w:rFonts w:ascii="Theinhardt Bold" w:eastAsia="Theinhardt Bold" w:hAnsi="Theinhardt Bold" w:cs="Theinhardt Bold"/>
          <w:b/>
          <w:bCs/>
          <w:color w:val="231F20"/>
          <w:spacing w:val="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en</w:t>
      </w:r>
      <w:r>
        <w:rPr>
          <w:rFonts w:ascii="Theinhardt Bold" w:eastAsia="Theinhardt Bold" w:hAnsi="Theinhardt Bold" w:cs="Theinhardt Bold"/>
          <w:b/>
          <w:bCs/>
          <w:color w:val="231F20"/>
          <w:spacing w:val="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2020</w:t>
      </w:r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que</w:t>
      </w:r>
      <w:r>
        <w:rPr>
          <w:rFonts w:ascii="Theinhardt Bold" w:eastAsia="Theinhardt Bold" w:hAnsi="Theinhardt Bold" w:cs="Theinhardt Bold"/>
          <w:b/>
          <w:bCs/>
          <w:color w:val="231F20"/>
          <w:spacing w:val="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la</w:t>
      </w:r>
      <w:r>
        <w:rPr>
          <w:rFonts w:ascii="Theinhardt Bold" w:eastAsia="Theinhardt Bold" w:hAnsi="Theinhardt Bold" w:cs="Theinhardt Bold"/>
          <w:b/>
          <w:bCs/>
          <w:color w:val="231F20"/>
          <w:spacing w:val="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nouvelle</w:t>
      </w:r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toiture</w:t>
      </w:r>
      <w:r>
        <w:rPr>
          <w:rFonts w:ascii="Theinhardt Bold" w:eastAsia="Theinhardt Bold" w:hAnsi="Theinhardt Bold" w:cs="Theinhardt Bold"/>
          <w:b/>
          <w:bCs/>
          <w:color w:val="231F20"/>
          <w:spacing w:val="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4"/>
          <w:sz w:val="18"/>
          <w:szCs w:val="18"/>
        </w:rPr>
        <w:t xml:space="preserve">PV,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cofinancée</w:t>
      </w:r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par</w:t>
      </w:r>
      <w:r>
        <w:rPr>
          <w:rFonts w:ascii="Theinhardt Bold" w:eastAsia="Theinhardt Bold" w:hAnsi="Theinhardt Bold" w:cs="Theinhardt Bold"/>
          <w:b/>
          <w:bCs/>
          <w:color w:val="231F20"/>
          <w:spacing w:val="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les</w:t>
      </w:r>
      <w:r>
        <w:rPr>
          <w:rFonts w:ascii="Theinhardt Bold" w:eastAsia="Theinhardt Bold" w:hAnsi="Theinhardt Bold" w:cs="Theinhardt Bold"/>
          <w:b/>
          <w:bCs/>
          <w:color w:val="231F20"/>
          <w:spacing w:val="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cito-</w:t>
      </w:r>
      <w:r>
        <w:rPr>
          <w:rFonts w:ascii="Theinhardt Bold" w:eastAsia="Theinhardt Bold" w:hAnsi="Theinhardt Bold" w:cs="Theinhardt Bold"/>
          <w:b/>
          <w:bCs/>
          <w:color w:val="231F20"/>
          <w:spacing w:val="4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yennes</w:t>
      </w:r>
      <w:r>
        <w:rPr>
          <w:rFonts w:ascii="Theinhardt Bold" w:eastAsia="Theinhardt Bold" w:hAnsi="Theinhardt Bold" w:cs="Theinhardt Bold"/>
          <w:b/>
          <w:bCs/>
          <w:color w:val="231F20"/>
          <w:spacing w:val="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et</w:t>
      </w:r>
      <w:r>
        <w:rPr>
          <w:rFonts w:ascii="Theinhardt Bold" w:eastAsia="Theinhardt Bold" w:hAnsi="Theinhardt Bold" w:cs="Theinhardt Bold"/>
          <w:b/>
          <w:bCs/>
          <w:color w:val="231F20"/>
          <w:spacing w:val="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citoyens,</w:t>
      </w:r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a</w:t>
      </w:r>
      <w:r>
        <w:rPr>
          <w:rFonts w:ascii="Theinhardt Bold" w:eastAsia="Theinhardt Bold" w:hAnsi="Theinhardt Bold" w:cs="Theinhardt Bold"/>
          <w:b/>
          <w:bCs/>
          <w:color w:val="231F20"/>
          <w:spacing w:val="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vu</w:t>
      </w:r>
      <w:r>
        <w:rPr>
          <w:rFonts w:ascii="Theinhardt Bold" w:eastAsia="Theinhardt Bold" w:hAnsi="Theinhardt Bold" w:cs="Theinhardt Bold"/>
          <w:b/>
          <w:bCs/>
          <w:color w:val="231F20"/>
          <w:spacing w:val="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le</w:t>
      </w:r>
      <w:r>
        <w:rPr>
          <w:rFonts w:ascii="Theinhardt Bold" w:eastAsia="Theinhardt Bold" w:hAnsi="Theinhardt Bold" w:cs="Theinhardt Bold"/>
          <w:b/>
          <w:bCs/>
          <w:color w:val="231F20"/>
          <w:spacing w:val="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4"/>
          <w:sz w:val="18"/>
          <w:szCs w:val="18"/>
        </w:rPr>
        <w:t>jour.</w:t>
      </w:r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Le</w:t>
      </w:r>
      <w:r>
        <w:rPr>
          <w:rFonts w:ascii="Theinhardt Bold" w:eastAsia="Theinhardt Bold" w:hAnsi="Theinhardt Bold" w:cs="Theinhardt Bold"/>
          <w:b/>
          <w:bCs/>
          <w:color w:val="231F20"/>
          <w:spacing w:val="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complexe</w:t>
      </w:r>
      <w:r>
        <w:rPr>
          <w:rFonts w:ascii="Theinhardt Bold" w:eastAsia="Theinhardt Bold" w:hAnsi="Theinhardt Bold" w:cs="Theinhardt Bold"/>
          <w:b/>
          <w:bCs/>
          <w:color w:val="231F20"/>
          <w:spacing w:val="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héberge</w:t>
      </w:r>
      <w:r>
        <w:rPr>
          <w:rFonts w:ascii="Theinhardt Bold" w:eastAsia="Theinhardt Bold" w:hAnsi="Theinhardt Bold" w:cs="Theinhardt Bold"/>
          <w:b/>
          <w:bCs/>
          <w:color w:val="231F20"/>
          <w:spacing w:val="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la</w:t>
      </w:r>
      <w:r>
        <w:rPr>
          <w:rFonts w:ascii="Theinhardt Bold" w:eastAsia="Theinhardt Bold" w:hAnsi="Theinhardt Bold" w:cs="Theinhardt Bold"/>
          <w:b/>
          <w:bCs/>
          <w:color w:val="231F20"/>
          <w:spacing w:val="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patinoire,</w:t>
      </w:r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un</w:t>
      </w:r>
      <w:r>
        <w:rPr>
          <w:rFonts w:ascii="Theinhardt Bold" w:eastAsia="Theinhardt Bold" w:hAnsi="Theinhardt Bold" w:cs="Theinhardt Bold"/>
          <w:b/>
          <w:bCs/>
          <w:color w:val="231F20"/>
          <w:spacing w:val="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restaurant,</w:t>
      </w:r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des</w:t>
      </w:r>
      <w:r>
        <w:rPr>
          <w:rFonts w:ascii="Theinhardt Bold" w:eastAsia="Theinhardt Bold" w:hAnsi="Theinhardt Bold" w:cs="Theinhardt Bold"/>
          <w:b/>
          <w:bCs/>
          <w:color w:val="231F20"/>
          <w:spacing w:val="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vestiaires</w:t>
      </w:r>
      <w:r>
        <w:rPr>
          <w:rFonts w:ascii="Theinhardt Bold" w:eastAsia="Theinhardt Bold" w:hAnsi="Theinhardt Bold" w:cs="Theinhardt Bold"/>
          <w:b/>
          <w:bCs/>
          <w:color w:val="231F20"/>
          <w:spacing w:val="5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et</w:t>
      </w:r>
      <w:r>
        <w:rPr>
          <w:rFonts w:ascii="Theinhardt Bold" w:eastAsia="Theinhardt Bold" w:hAnsi="Theinhardt Bold" w:cs="Theinhardt Bold"/>
          <w:b/>
          <w:bCs/>
          <w:color w:val="231F20"/>
          <w:spacing w:val="1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un</w:t>
      </w:r>
      <w:r>
        <w:rPr>
          <w:rFonts w:ascii="Theinhardt Bold" w:eastAsia="Theinhardt Bold" w:hAnsi="Theinhardt Bold" w:cs="Theinhardt Bold"/>
          <w:b/>
          <w:bCs/>
          <w:color w:val="231F20"/>
          <w:spacing w:val="1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abri</w:t>
      </w:r>
      <w:r>
        <w:rPr>
          <w:rFonts w:ascii="Theinhardt Bold" w:eastAsia="Theinhardt Bold" w:hAnsi="Theinhardt Bold" w:cs="Theinhardt Bold"/>
          <w:b/>
          <w:bCs/>
          <w:color w:val="231F20"/>
          <w:spacing w:val="1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de</w:t>
      </w:r>
      <w:r>
        <w:rPr>
          <w:rFonts w:ascii="Theinhardt Bold" w:eastAsia="Theinhardt Bold" w:hAnsi="Theinhardt Bold" w:cs="Theinhardt Bold"/>
          <w:b/>
          <w:bCs/>
          <w:color w:val="231F20"/>
          <w:spacing w:val="1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protection</w:t>
      </w:r>
      <w:r>
        <w:rPr>
          <w:rFonts w:ascii="Theinhardt Bold" w:eastAsia="Theinhardt Bold" w:hAnsi="Theinhardt Bold" w:cs="Theinhardt Bold"/>
          <w:b/>
          <w:bCs/>
          <w:color w:val="231F20"/>
          <w:spacing w:val="1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civile.</w:t>
      </w:r>
      <w:r>
        <w:rPr>
          <w:rFonts w:ascii="Theinhardt Bold" w:eastAsia="Theinhardt Bold" w:hAnsi="Theinhardt Bold" w:cs="Theinhardt Bold"/>
          <w:b/>
          <w:bCs/>
          <w:color w:val="231F20"/>
          <w:spacing w:val="1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Le</w:t>
      </w:r>
      <w:r>
        <w:rPr>
          <w:rFonts w:ascii="Theinhardt Bold" w:eastAsia="Theinhardt Bold" w:hAnsi="Theinhardt Bold" w:cs="Theinhardt Bold"/>
          <w:b/>
          <w:bCs/>
          <w:color w:val="231F20"/>
          <w:spacing w:val="1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site</w:t>
      </w:r>
      <w:r>
        <w:rPr>
          <w:rFonts w:ascii="Theinhardt Bold" w:eastAsia="Theinhardt Bold" w:hAnsi="Theinhardt Bold" w:cs="Theinhardt Bold"/>
          <w:b/>
          <w:bCs/>
          <w:color w:val="231F20"/>
          <w:spacing w:val="1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consomme</w:t>
      </w:r>
      <w:r>
        <w:rPr>
          <w:rFonts w:ascii="Theinhardt Bold" w:eastAsia="Theinhardt Bold" w:hAnsi="Theinhardt Bold" w:cs="Theinhardt Bold"/>
          <w:b/>
          <w:bCs/>
          <w:color w:val="231F20"/>
          <w:spacing w:val="1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au</w:t>
      </w:r>
      <w:r>
        <w:rPr>
          <w:rFonts w:ascii="Theinhardt Bold" w:eastAsia="Theinhardt Bold" w:hAnsi="Theinhardt Bold" w:cs="Theinhardt Bold"/>
          <w:b/>
          <w:bCs/>
          <w:color w:val="231F20"/>
          <w:spacing w:val="1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total</w:t>
      </w:r>
      <w:r>
        <w:rPr>
          <w:rFonts w:ascii="Theinhardt Bold" w:eastAsia="Theinhardt Bold" w:hAnsi="Theinhardt Bold" w:cs="Theinhardt Bold"/>
          <w:b/>
          <w:bCs/>
          <w:color w:val="231F20"/>
          <w:spacing w:val="1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418’500</w:t>
      </w:r>
      <w:r>
        <w:rPr>
          <w:rFonts w:ascii="Theinhardt Bold" w:eastAsia="Theinhardt Bold" w:hAnsi="Theinhardt Bold" w:cs="Theinhardt Bold"/>
          <w:b/>
          <w:bCs/>
          <w:color w:val="231F20"/>
          <w:spacing w:val="1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3"/>
          <w:sz w:val="18"/>
          <w:szCs w:val="18"/>
        </w:rPr>
        <w:t>kWh/a.</w:t>
      </w:r>
      <w:r>
        <w:rPr>
          <w:rFonts w:ascii="Theinhardt Bold" w:eastAsia="Theinhardt Bold" w:hAnsi="Theinhardt Bold" w:cs="Theinhardt Bold"/>
          <w:b/>
          <w:bCs/>
          <w:color w:val="231F20"/>
          <w:spacing w:val="1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Sur</w:t>
      </w:r>
      <w:r>
        <w:rPr>
          <w:rFonts w:ascii="Theinhardt Bold" w:eastAsia="Theinhardt Bold" w:hAnsi="Theinhardt Bold" w:cs="Theinhardt Bold"/>
          <w:b/>
          <w:bCs/>
          <w:color w:val="231F20"/>
          <w:spacing w:val="1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le</w:t>
      </w:r>
      <w:r>
        <w:rPr>
          <w:rFonts w:ascii="Theinhardt Bold" w:eastAsia="Theinhardt Bold" w:hAnsi="Theinhardt Bold" w:cs="Theinhardt Bold"/>
          <w:b/>
          <w:bCs/>
          <w:color w:val="231F20"/>
          <w:spacing w:val="1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toit</w:t>
      </w:r>
      <w:r>
        <w:rPr>
          <w:rFonts w:ascii="Theinhardt Bold" w:eastAsia="Theinhardt Bold" w:hAnsi="Theinhardt Bold" w:cs="Theinhardt Bold"/>
          <w:b/>
          <w:bCs/>
          <w:color w:val="231F20"/>
          <w:spacing w:val="1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incurvé,</w:t>
      </w:r>
      <w:r>
        <w:rPr>
          <w:rFonts w:ascii="Theinhardt Bold" w:eastAsia="Theinhardt Bold" w:hAnsi="Theinhardt Bold" w:cs="Theinhardt Bold"/>
          <w:b/>
          <w:bCs/>
          <w:color w:val="231F20"/>
          <w:spacing w:val="6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l’installation</w:t>
      </w:r>
      <w:r>
        <w:rPr>
          <w:rFonts w:ascii="Theinhardt Bold" w:eastAsia="Theinhardt Bold" w:hAnsi="Theinhardt Bold" w:cs="Theinhardt Bold"/>
          <w:b/>
          <w:bCs/>
          <w:color w:val="231F20"/>
          <w:spacing w:val="-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8"/>
          <w:szCs w:val="18"/>
        </w:rPr>
        <w:t>PV</w:t>
      </w:r>
      <w:r>
        <w:rPr>
          <w:rFonts w:ascii="Theinhardt Bold" w:eastAsia="Theinhardt Bold" w:hAnsi="Theinhardt Bold" w:cs="Theinhardt Bold"/>
          <w:b/>
          <w:bCs/>
          <w:color w:val="231F20"/>
          <w:spacing w:val="-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de</w:t>
      </w:r>
      <w:r>
        <w:rPr>
          <w:rFonts w:ascii="Theinhardt Bold" w:eastAsia="Theinhardt Bold" w:hAnsi="Theinhardt Bold" w:cs="Theinhardt Bold"/>
          <w:b/>
          <w:bCs/>
          <w:color w:val="231F20"/>
          <w:spacing w:val="-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411</w:t>
      </w:r>
      <w:r>
        <w:rPr>
          <w:rFonts w:ascii="Theinhardt Bold" w:eastAsia="Theinhardt Bold" w:hAnsi="Theinhardt Bold" w:cs="Theinhardt Bold"/>
          <w:b/>
          <w:bCs/>
          <w:color w:val="231F20"/>
          <w:spacing w:val="-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kWc</w:t>
      </w:r>
      <w:r>
        <w:rPr>
          <w:rFonts w:ascii="Theinhardt Bold" w:eastAsia="Theinhardt Bold" w:hAnsi="Theinhardt Bold" w:cs="Theinhardt Bold"/>
          <w:b/>
          <w:bCs/>
          <w:color w:val="231F20"/>
          <w:spacing w:val="-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génère</w:t>
      </w:r>
      <w:r>
        <w:rPr>
          <w:rFonts w:ascii="Theinhardt Bold" w:eastAsia="Theinhardt Bold" w:hAnsi="Theinhardt Bold" w:cs="Theinhardt Bold"/>
          <w:b/>
          <w:bCs/>
          <w:color w:val="231F20"/>
          <w:spacing w:val="-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435’000</w:t>
      </w:r>
      <w:r>
        <w:rPr>
          <w:rFonts w:ascii="Theinhardt Bold" w:eastAsia="Theinhardt Bold" w:hAnsi="Theinhardt Bold" w:cs="Theinhardt Bold"/>
          <w:b/>
          <w:bCs/>
          <w:color w:val="231F20"/>
          <w:spacing w:val="-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kWh/a;</w:t>
      </w:r>
      <w:r>
        <w:rPr>
          <w:rFonts w:ascii="Theinhardt Bold" w:eastAsia="Theinhardt Bold" w:hAnsi="Theinhardt Bold" w:cs="Theinhardt Bold"/>
          <w:b/>
          <w:bCs/>
          <w:color w:val="231F20"/>
          <w:spacing w:val="-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elle</w:t>
      </w:r>
      <w:r>
        <w:rPr>
          <w:rFonts w:ascii="Theinhardt Bold" w:eastAsia="Theinhardt Bold" w:hAnsi="Theinhardt Bold" w:cs="Theinhardt Bold"/>
          <w:b/>
          <w:bCs/>
          <w:color w:val="231F20"/>
          <w:spacing w:val="-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couvre</w:t>
      </w:r>
      <w:r>
        <w:rPr>
          <w:rFonts w:ascii="Theinhardt Bold" w:eastAsia="Theinhardt Bold" w:hAnsi="Theinhardt Bold" w:cs="Theinhardt Bold"/>
          <w:b/>
          <w:bCs/>
          <w:color w:val="231F20"/>
          <w:spacing w:val="-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104%</w:t>
      </w:r>
      <w:r>
        <w:rPr>
          <w:rFonts w:ascii="Theinhardt Bold" w:eastAsia="Theinhardt Bold" w:hAnsi="Theinhardt Bold" w:cs="Theinhardt Bold"/>
          <w:b/>
          <w:bCs/>
          <w:color w:val="231F20"/>
          <w:spacing w:val="-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des</w:t>
      </w:r>
      <w:r>
        <w:rPr>
          <w:rFonts w:ascii="Theinhardt Bold" w:eastAsia="Theinhardt Bold" w:hAnsi="Theinhardt Bold" w:cs="Theinhardt Bold"/>
          <w:b/>
          <w:bCs/>
          <w:color w:val="231F20"/>
          <w:spacing w:val="-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besoins</w:t>
      </w:r>
      <w:r>
        <w:rPr>
          <w:rFonts w:ascii="Theinhardt Bold" w:eastAsia="Theinhardt Bold" w:hAnsi="Theinhardt Bold" w:cs="Theinhardt Bold"/>
          <w:b/>
          <w:bCs/>
          <w:color w:val="231F20"/>
          <w:spacing w:val="-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énergétiques</w:t>
      </w:r>
      <w:r>
        <w:rPr>
          <w:rFonts w:ascii="Theinhardt Bold" w:eastAsia="Theinhardt Bold" w:hAnsi="Theinhardt Bold" w:cs="Theinhardt Bold"/>
          <w:b/>
          <w:bCs/>
          <w:color w:val="231F20"/>
          <w:spacing w:val="2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tout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en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réduisant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de 230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t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les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 xml:space="preserve"> émissions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 xml:space="preserve"> de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CO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position w:val="-5"/>
          <w:sz w:val="10"/>
          <w:szCs w:val="10"/>
        </w:rPr>
        <w:t>2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.</w:t>
      </w:r>
    </w:p>
    <w:p w14:paraId="3E859A9F" w14:textId="77777777" w:rsidR="009B6FE4" w:rsidRDefault="009B6FE4">
      <w:pPr>
        <w:spacing w:line="230" w:lineRule="exact"/>
        <w:jc w:val="both"/>
        <w:rPr>
          <w:rFonts w:ascii="Theinhardt Bold" w:eastAsia="Theinhardt Bold" w:hAnsi="Theinhardt Bold" w:cs="Theinhardt Bold"/>
          <w:sz w:val="18"/>
          <w:szCs w:val="18"/>
        </w:rPr>
        <w:sectPr w:rsidR="009B6FE4">
          <w:type w:val="continuous"/>
          <w:pgSz w:w="11910" w:h="16840"/>
          <w:pgMar w:top="840" w:right="740" w:bottom="280" w:left="460" w:header="720" w:footer="720" w:gutter="0"/>
          <w:cols w:num="2" w:space="720" w:equalWidth="0">
            <w:col w:w="2547" w:space="132"/>
            <w:col w:w="8031"/>
          </w:cols>
        </w:sectPr>
      </w:pPr>
    </w:p>
    <w:p w14:paraId="26898C45" w14:textId="77777777" w:rsidR="009B6FE4" w:rsidRDefault="009B6FE4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05D709FD" w14:textId="77777777" w:rsidR="009B6FE4" w:rsidRDefault="009B6FE4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780D8438" w14:textId="77777777" w:rsidR="009B6FE4" w:rsidRDefault="009B6FE4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399660B7" w14:textId="77777777" w:rsidR="009B6FE4" w:rsidRDefault="009B6FE4">
      <w:pPr>
        <w:spacing w:before="11"/>
        <w:rPr>
          <w:rFonts w:ascii="Theinhardt Bold" w:eastAsia="Theinhardt Bold" w:hAnsi="Theinhardt Bold" w:cs="Theinhardt Bold"/>
          <w:b/>
          <w:bCs/>
          <w:sz w:val="23"/>
          <w:szCs w:val="23"/>
        </w:rPr>
      </w:pPr>
    </w:p>
    <w:p w14:paraId="5909166F" w14:textId="77777777" w:rsidR="009B6FE4" w:rsidRDefault="006522BF">
      <w:pPr>
        <w:spacing w:before="5"/>
        <w:ind w:left="106"/>
        <w:rPr>
          <w:rFonts w:ascii="Theinhardt Black" w:eastAsia="Theinhardt Black" w:hAnsi="Theinhardt Black" w:cs="Theinhardt Black"/>
          <w:sz w:val="40"/>
          <w:szCs w:val="40"/>
        </w:rPr>
      </w:pPr>
      <w:r>
        <w:rPr>
          <w:rFonts w:ascii="Theinhardt Black"/>
          <w:b/>
          <w:color w:val="0067B1"/>
          <w:spacing w:val="-4"/>
          <w:sz w:val="40"/>
        </w:rPr>
        <w:t>104%</w:t>
      </w:r>
      <w:r>
        <w:rPr>
          <w:rFonts w:ascii="Theinhardt Black"/>
          <w:b/>
          <w:color w:val="0067B1"/>
          <w:spacing w:val="-53"/>
          <w:sz w:val="40"/>
        </w:rPr>
        <w:t xml:space="preserve"> </w:t>
      </w:r>
      <w:r>
        <w:rPr>
          <w:rFonts w:ascii="Theinhardt Black"/>
          <w:b/>
          <w:color w:val="0067B1"/>
          <w:spacing w:val="-4"/>
          <w:sz w:val="40"/>
        </w:rPr>
        <w:t>BEP</w:t>
      </w:r>
      <w:r>
        <w:rPr>
          <w:rFonts w:ascii="Theinhardt Black"/>
          <w:b/>
          <w:color w:val="0067B1"/>
          <w:spacing w:val="-5"/>
          <w:sz w:val="40"/>
        </w:rPr>
        <w:t>-Patinoire,</w:t>
      </w:r>
      <w:r>
        <w:rPr>
          <w:rFonts w:ascii="Theinhardt Black"/>
          <w:b/>
          <w:color w:val="0067B1"/>
          <w:spacing w:val="-64"/>
          <w:sz w:val="40"/>
        </w:rPr>
        <w:t xml:space="preserve"> </w:t>
      </w:r>
      <w:r>
        <w:rPr>
          <w:rFonts w:ascii="Theinhardt Black"/>
          <w:b/>
          <w:color w:val="0067B1"/>
          <w:spacing w:val="-4"/>
          <w:sz w:val="40"/>
        </w:rPr>
        <w:t>2720</w:t>
      </w:r>
      <w:r>
        <w:rPr>
          <w:rFonts w:ascii="Theinhardt Black"/>
          <w:b/>
          <w:color w:val="0067B1"/>
          <w:spacing w:val="-64"/>
          <w:sz w:val="40"/>
        </w:rPr>
        <w:t xml:space="preserve"> </w:t>
      </w:r>
      <w:r>
        <w:rPr>
          <w:rFonts w:ascii="Theinhardt Black"/>
          <w:b/>
          <w:color w:val="0067B1"/>
          <w:spacing w:val="-3"/>
          <w:sz w:val="40"/>
        </w:rPr>
        <w:t>Tramelan/BE</w:t>
      </w:r>
    </w:p>
    <w:p w14:paraId="4CAE84E1" w14:textId="77777777" w:rsidR="009B6FE4" w:rsidRDefault="009B6FE4">
      <w:pPr>
        <w:spacing w:before="11"/>
        <w:rPr>
          <w:rFonts w:ascii="Theinhardt Black" w:eastAsia="Theinhardt Black" w:hAnsi="Theinhardt Black" w:cs="Theinhardt Black"/>
          <w:b/>
          <w:bCs/>
          <w:sz w:val="23"/>
          <w:szCs w:val="23"/>
        </w:rPr>
      </w:pPr>
    </w:p>
    <w:p w14:paraId="5E2C7C6F" w14:textId="77777777" w:rsidR="009B6FE4" w:rsidRDefault="009B6FE4">
      <w:pPr>
        <w:rPr>
          <w:rFonts w:ascii="Theinhardt Black" w:eastAsia="Theinhardt Black" w:hAnsi="Theinhardt Black" w:cs="Theinhardt Black"/>
          <w:sz w:val="23"/>
          <w:szCs w:val="23"/>
        </w:rPr>
        <w:sectPr w:rsidR="009B6FE4">
          <w:type w:val="continuous"/>
          <w:pgSz w:w="11910" w:h="16840"/>
          <w:pgMar w:top="840" w:right="740" w:bottom="280" w:left="460" w:header="720" w:footer="720" w:gutter="0"/>
          <w:cols w:space="720"/>
        </w:sectPr>
      </w:pPr>
    </w:p>
    <w:p w14:paraId="6BAEA036" w14:textId="77777777" w:rsidR="009B6FE4" w:rsidRDefault="006522BF">
      <w:pPr>
        <w:pStyle w:val="berschrift1"/>
        <w:spacing w:before="52" w:line="230" w:lineRule="exact"/>
        <w:ind w:firstLine="0"/>
        <w:jc w:val="both"/>
      </w:pPr>
      <w:r>
        <w:rPr>
          <w:color w:val="231F20"/>
          <w:spacing w:val="-2"/>
        </w:rPr>
        <w:t>Après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catastrophe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Fukushima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2011,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l’idée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remplacer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le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toit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amianté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pa-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tinoire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par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une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toiture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solaire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3"/>
        </w:rPr>
        <w:t>s’est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imposée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Tramelan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(BE).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Faisant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preuve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d’innovation,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1"/>
        </w:rPr>
        <w:t>le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1"/>
        </w:rPr>
        <w:t>conseil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municipal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lancé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2"/>
        </w:rPr>
        <w:t>l’étude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2"/>
        </w:rPr>
        <w:t>d’un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projet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solaire, présenté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au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Comptoir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Tra-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melan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2018.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Les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citoyennes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citoyens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ont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pu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participer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financièrement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3"/>
        </w:rPr>
        <w:t>première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2"/>
        </w:rPr>
        <w:t>patinoire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BEP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Suisse.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Séduite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par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le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nou-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veau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élégant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toit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solaire,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population</w:t>
      </w:r>
      <w:r>
        <w:rPr>
          <w:color w:val="231F20"/>
          <w:spacing w:val="18"/>
        </w:rPr>
        <w:t xml:space="preserve"> </w:t>
      </w:r>
      <w:proofErr w:type="gramStart"/>
      <w:r>
        <w:rPr>
          <w:color w:val="231F20"/>
        </w:rPr>
        <w:t>a</w:t>
      </w:r>
      <w:proofErr w:type="gramEnd"/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accepté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le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projet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novembre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2019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près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90%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des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voix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contribué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hauteur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700’000</w:t>
      </w:r>
      <w:r>
        <w:rPr>
          <w:color w:val="231F20"/>
          <w:spacing w:val="-2"/>
        </w:rPr>
        <w:t xml:space="preserve"> francs.</w:t>
      </w:r>
    </w:p>
    <w:p w14:paraId="25453B6B" w14:textId="77777777" w:rsidR="009B6FE4" w:rsidRDefault="006522BF">
      <w:pPr>
        <w:spacing w:line="230" w:lineRule="exact"/>
        <w:ind w:left="108" w:firstLine="226"/>
        <w:jc w:val="both"/>
        <w:rPr>
          <w:rFonts w:ascii="Theinhardt Regular" w:eastAsia="Theinhardt Regular" w:hAnsi="Theinhardt Regular" w:cs="Theinhardt Regular"/>
          <w:sz w:val="18"/>
          <w:szCs w:val="18"/>
        </w:rPr>
      </w:pP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L’installation</w:t>
      </w:r>
      <w:r>
        <w:rPr>
          <w:rFonts w:ascii="Theinhardt Regular" w:eastAsia="Theinhardt Regular" w:hAnsi="Theinhardt Regular" w:cs="Theinhardt Regular"/>
          <w:color w:val="231F20"/>
          <w:spacing w:val="28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PV</w:t>
      </w:r>
      <w:r>
        <w:rPr>
          <w:rFonts w:ascii="Theinhardt Regular" w:eastAsia="Theinhardt Regular" w:hAnsi="Theinhardt Regular" w:cs="Theinhardt Regular"/>
          <w:color w:val="231F20"/>
          <w:spacing w:val="29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de</w:t>
      </w:r>
      <w:r>
        <w:rPr>
          <w:rFonts w:ascii="Theinhardt Regular" w:eastAsia="Theinhardt Regular" w:hAnsi="Theinhardt Regular" w:cs="Theinhardt Regular"/>
          <w:color w:val="231F20"/>
          <w:spacing w:val="28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411</w:t>
      </w:r>
      <w:r>
        <w:rPr>
          <w:rFonts w:ascii="Theinhardt Regular" w:eastAsia="Theinhardt Regular" w:hAnsi="Theinhardt Regular" w:cs="Theinhardt Regular"/>
          <w:color w:val="231F20"/>
          <w:spacing w:val="29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4"/>
          <w:sz w:val="18"/>
          <w:szCs w:val="18"/>
        </w:rPr>
        <w:t>kWc</w:t>
      </w:r>
      <w:r>
        <w:rPr>
          <w:rFonts w:ascii="Theinhardt Regular" w:eastAsia="Theinhardt Regular" w:hAnsi="Theinhardt Regular" w:cs="Theinhardt Regular"/>
          <w:color w:val="231F20"/>
          <w:spacing w:val="29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a</w:t>
      </w:r>
      <w:r>
        <w:rPr>
          <w:rFonts w:ascii="Theinhardt Regular" w:eastAsia="Theinhardt Regular" w:hAnsi="Theinhardt Regular" w:cs="Theinhardt Regular"/>
          <w:color w:val="231F20"/>
          <w:spacing w:val="28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été</w:t>
      </w:r>
      <w:r>
        <w:rPr>
          <w:rFonts w:ascii="Theinhardt Regular" w:eastAsia="Theinhardt Regular" w:hAnsi="Theinhardt Regular" w:cs="Theinhardt Regular"/>
          <w:color w:val="231F20"/>
          <w:spacing w:val="29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po-</w:t>
      </w:r>
      <w:r>
        <w:rPr>
          <w:rFonts w:ascii="Theinhardt Regular" w:eastAsia="Theinhardt Regular" w:hAnsi="Theinhardt Regular" w:cs="Theinhardt Regular"/>
          <w:color w:val="231F20"/>
          <w:spacing w:val="27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sée</w:t>
      </w:r>
      <w:r>
        <w:rPr>
          <w:rFonts w:ascii="Theinhardt Regular" w:eastAsia="Theinhardt Regular" w:hAnsi="Theinhardt Regular" w:cs="Theinhardt Regular"/>
          <w:color w:val="231F20"/>
          <w:spacing w:val="11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en</w:t>
      </w:r>
      <w:r>
        <w:rPr>
          <w:rFonts w:ascii="Theinhardt Regular" w:eastAsia="Theinhardt Regular" w:hAnsi="Theinhardt Regular" w:cs="Theinhardt Regular"/>
          <w:color w:val="231F20"/>
          <w:spacing w:val="11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2020</w:t>
      </w:r>
      <w:r>
        <w:rPr>
          <w:rFonts w:ascii="Theinhardt Regular" w:eastAsia="Theinhardt Regular" w:hAnsi="Theinhardt Regular" w:cs="Theinhardt Regular"/>
          <w:color w:val="231F20"/>
          <w:spacing w:val="11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sur</w:t>
      </w:r>
      <w:r>
        <w:rPr>
          <w:rFonts w:ascii="Theinhardt Regular" w:eastAsia="Theinhardt Regular" w:hAnsi="Theinhardt Regular" w:cs="Theinhardt Regular"/>
          <w:color w:val="231F20"/>
          <w:spacing w:val="11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la</w:t>
      </w:r>
      <w:r>
        <w:rPr>
          <w:rFonts w:ascii="Theinhardt Regular" w:eastAsia="Theinhardt Regular" w:hAnsi="Theinhardt Regular" w:cs="Theinhardt Regular"/>
          <w:color w:val="231F20"/>
          <w:spacing w:val="11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partie</w:t>
      </w:r>
      <w:r>
        <w:rPr>
          <w:rFonts w:ascii="Theinhardt Regular" w:eastAsia="Theinhardt Regular" w:hAnsi="Theinhardt Regular" w:cs="Theinhardt Regular"/>
          <w:color w:val="231F20"/>
          <w:spacing w:val="11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sud</w:t>
      </w:r>
      <w:r>
        <w:rPr>
          <w:rFonts w:ascii="Theinhardt Regular" w:eastAsia="Theinhardt Regular" w:hAnsi="Theinhardt Regular" w:cs="Theinhardt Regular"/>
          <w:color w:val="231F20"/>
          <w:spacing w:val="11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du</w:t>
      </w:r>
      <w:r>
        <w:rPr>
          <w:rFonts w:ascii="Theinhardt Regular" w:eastAsia="Theinhardt Regular" w:hAnsi="Theinhardt Regular" w:cs="Theinhardt Regular"/>
          <w:color w:val="231F20"/>
          <w:spacing w:val="11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 xml:space="preserve">toit.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Avec</w:t>
      </w:r>
      <w:r>
        <w:rPr>
          <w:rFonts w:ascii="Theinhardt Regular" w:eastAsia="Theinhardt Regular" w:hAnsi="Theinhardt Regular" w:cs="Theinhardt Regular"/>
          <w:color w:val="231F20"/>
          <w:spacing w:val="27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435’000</w:t>
      </w:r>
      <w:r>
        <w:rPr>
          <w:rFonts w:ascii="Theinhardt Regular" w:eastAsia="Theinhardt Regular" w:hAnsi="Theinhardt Regular" w:cs="Theinhardt Regular"/>
          <w:color w:val="231F20"/>
          <w:spacing w:val="9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3"/>
          <w:sz w:val="18"/>
          <w:szCs w:val="18"/>
        </w:rPr>
        <w:t>kWh/a,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elle</w:t>
      </w:r>
      <w:r>
        <w:rPr>
          <w:rFonts w:ascii="Theinhardt Regular" w:eastAsia="Theinhardt Regular" w:hAnsi="Theinhardt Regular" w:cs="Theinhardt Regular"/>
          <w:color w:val="231F20"/>
          <w:spacing w:val="9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3"/>
          <w:sz w:val="18"/>
          <w:szCs w:val="18"/>
        </w:rPr>
        <w:t>couvre</w:t>
      </w:r>
      <w:r>
        <w:rPr>
          <w:rFonts w:ascii="Theinhardt Regular" w:eastAsia="Theinhardt Regular" w:hAnsi="Theinhardt Regular" w:cs="Theinhardt Regular"/>
          <w:color w:val="231F20"/>
          <w:spacing w:val="9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104%</w:t>
      </w:r>
      <w:r>
        <w:rPr>
          <w:rFonts w:ascii="Theinhardt Regular" w:eastAsia="Theinhardt Regular" w:hAnsi="Theinhardt Regular" w:cs="Theinhardt Regular"/>
          <w:color w:val="231F20"/>
          <w:spacing w:val="9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des</w:t>
      </w:r>
      <w:r>
        <w:rPr>
          <w:rFonts w:ascii="Theinhardt Regular" w:eastAsia="Theinhardt Regular" w:hAnsi="Theinhardt Regular" w:cs="Theinhardt Regular"/>
          <w:color w:val="231F20"/>
          <w:spacing w:val="9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be-</w:t>
      </w:r>
      <w:r>
        <w:rPr>
          <w:rFonts w:ascii="Theinhardt Regular" w:eastAsia="Theinhardt Regular" w:hAnsi="Theinhardt Regular" w:cs="Theinhardt Regular"/>
          <w:color w:val="231F20"/>
          <w:spacing w:val="31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soins.</w:t>
      </w:r>
      <w:r>
        <w:rPr>
          <w:rFonts w:ascii="Theinhardt Regular" w:eastAsia="Theinhardt Regular" w:hAnsi="Theinhardt Regular" w:cs="Theinhardt Regular"/>
          <w:color w:val="231F20"/>
          <w:spacing w:val="-27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4"/>
          <w:sz w:val="18"/>
          <w:szCs w:val="18"/>
        </w:rPr>
        <w:t>Le</w:t>
      </w:r>
      <w:r>
        <w:rPr>
          <w:rFonts w:ascii="Theinhardt Regular" w:eastAsia="Theinhardt Regular" w:hAnsi="Theinhardt Regular" w:cs="Theinhardt Regular"/>
          <w:color w:val="231F20"/>
          <w:spacing w:val="-16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complexe</w:t>
      </w:r>
      <w:r>
        <w:rPr>
          <w:rFonts w:ascii="Theinhardt Regular" w:eastAsia="Theinhardt Regular" w:hAnsi="Theinhardt Regular" w:cs="Theinhardt Regular"/>
          <w:color w:val="231F20"/>
          <w:spacing w:val="-16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comprend</w:t>
      </w:r>
      <w:r>
        <w:rPr>
          <w:rFonts w:ascii="Theinhardt Regular" w:eastAsia="Theinhardt Regular" w:hAnsi="Theinhardt Regular" w:cs="Theinhardt Regular"/>
          <w:color w:val="231F20"/>
          <w:spacing w:val="-16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la</w:t>
      </w:r>
      <w:r>
        <w:rPr>
          <w:rFonts w:ascii="Theinhardt Regular" w:eastAsia="Theinhardt Regular" w:hAnsi="Theinhardt Regular" w:cs="Theinhardt Regular"/>
          <w:color w:val="231F20"/>
          <w:spacing w:val="-16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patinoire,</w:t>
      </w:r>
      <w:r>
        <w:rPr>
          <w:rFonts w:ascii="Theinhardt Regular" w:eastAsia="Theinhardt Regular" w:hAnsi="Theinhardt Regular" w:cs="Theinhardt Regular"/>
          <w:color w:val="231F20"/>
          <w:spacing w:val="-27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un</w:t>
      </w:r>
      <w:r>
        <w:rPr>
          <w:rFonts w:ascii="Theinhardt Regular" w:eastAsia="Theinhardt Regular" w:hAnsi="Theinhardt Regular" w:cs="Theinhardt Regular"/>
          <w:color w:val="231F20"/>
          <w:spacing w:val="38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restaurant,</w:t>
      </w:r>
      <w:r>
        <w:rPr>
          <w:rFonts w:ascii="Theinhardt Regular" w:eastAsia="Theinhardt Regular" w:hAnsi="Theinhardt Regular" w:cs="Theinhardt Regular"/>
          <w:color w:val="231F20"/>
          <w:spacing w:val="-6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plusieurs</w:t>
      </w:r>
      <w:r>
        <w:rPr>
          <w:rFonts w:ascii="Theinhardt Regular" w:eastAsia="Theinhardt Regular" w:hAnsi="Theinhardt Regular" w:cs="Theinhardt Regular"/>
          <w:color w:val="231F20"/>
          <w:spacing w:val="5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vestiaires</w:t>
      </w:r>
      <w:r>
        <w:rPr>
          <w:rFonts w:ascii="Theinhardt Regular" w:eastAsia="Theinhardt Regular" w:hAnsi="Theinhardt Regular" w:cs="Theinhardt Regular"/>
          <w:color w:val="231F20"/>
          <w:spacing w:val="5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et</w:t>
      </w:r>
      <w:r>
        <w:rPr>
          <w:rFonts w:ascii="Theinhardt Regular" w:eastAsia="Theinhardt Regular" w:hAnsi="Theinhardt Regular" w:cs="Theinhardt Regular"/>
          <w:color w:val="231F20"/>
          <w:spacing w:val="5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un</w:t>
      </w:r>
      <w:r>
        <w:rPr>
          <w:rFonts w:ascii="Theinhardt Regular" w:eastAsia="Theinhardt Regular" w:hAnsi="Theinhardt Regular" w:cs="Theinhardt Regular"/>
          <w:color w:val="231F20"/>
          <w:spacing w:val="5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abri</w:t>
      </w:r>
      <w:r>
        <w:rPr>
          <w:rFonts w:ascii="Theinhardt Regular" w:eastAsia="Theinhardt Regular" w:hAnsi="Theinhardt Regular" w:cs="Theinhardt Regular"/>
          <w:color w:val="231F20"/>
          <w:spacing w:val="5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de</w:t>
      </w:r>
      <w:r>
        <w:rPr>
          <w:rFonts w:ascii="Theinhardt Regular" w:eastAsia="Theinhardt Regular" w:hAnsi="Theinhardt Regular" w:cs="Theinhardt Regular"/>
          <w:color w:val="231F20"/>
          <w:spacing w:val="32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protection</w:t>
      </w:r>
      <w:r>
        <w:rPr>
          <w:rFonts w:ascii="Theinhardt Regular" w:eastAsia="Theinhardt Regular" w:hAnsi="Theinhardt Regular" w:cs="Theinhardt Regular"/>
          <w:color w:val="231F20"/>
          <w:spacing w:val="14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civile.</w:t>
      </w:r>
      <w:r>
        <w:rPr>
          <w:rFonts w:ascii="Theinhardt Regular" w:eastAsia="Theinhardt Regular" w:hAnsi="Theinhardt Regular" w:cs="Theinhardt Regular"/>
          <w:color w:val="231F20"/>
          <w:spacing w:val="3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Il</w:t>
      </w:r>
      <w:r>
        <w:rPr>
          <w:rFonts w:ascii="Theinhardt Regular" w:eastAsia="Theinhardt Regular" w:hAnsi="Theinhardt Regular" w:cs="Theinhardt Regular"/>
          <w:color w:val="231F20"/>
          <w:spacing w:val="14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consomme</w:t>
      </w:r>
      <w:r>
        <w:rPr>
          <w:rFonts w:ascii="Theinhardt Regular" w:eastAsia="Theinhardt Regular" w:hAnsi="Theinhardt Regular" w:cs="Theinhardt Regular"/>
          <w:color w:val="231F20"/>
          <w:spacing w:val="14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au</w:t>
      </w:r>
      <w:r>
        <w:rPr>
          <w:rFonts w:ascii="Theinhardt Regular" w:eastAsia="Theinhardt Regular" w:hAnsi="Theinhardt Regular" w:cs="Theinhardt Regular"/>
          <w:color w:val="231F20"/>
          <w:spacing w:val="14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total</w:t>
      </w:r>
      <w:r>
        <w:rPr>
          <w:rFonts w:ascii="Theinhardt Regular" w:eastAsia="Theinhardt Regular" w:hAnsi="Theinhardt Regular" w:cs="Theinhardt Regular"/>
          <w:color w:val="231F20"/>
          <w:spacing w:val="14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3"/>
          <w:sz w:val="18"/>
          <w:szCs w:val="18"/>
        </w:rPr>
        <w:t>près</w:t>
      </w:r>
      <w:r>
        <w:rPr>
          <w:rFonts w:ascii="Theinhardt Regular" w:eastAsia="Theinhardt Regular" w:hAnsi="Theinhardt Regular" w:cs="Theinhardt Regular"/>
          <w:color w:val="231F20"/>
          <w:spacing w:val="44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de</w:t>
      </w:r>
      <w:r>
        <w:rPr>
          <w:rFonts w:ascii="Theinhardt Regular" w:eastAsia="Theinhardt Regular" w:hAnsi="Theinhardt Regular" w:cs="Theinhardt Regular"/>
          <w:color w:val="231F20"/>
          <w:spacing w:val="40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418’500</w:t>
      </w:r>
      <w:r>
        <w:rPr>
          <w:rFonts w:ascii="Theinhardt Regular" w:eastAsia="Theinhardt Regular" w:hAnsi="Theinhardt Regular" w:cs="Theinhardt Regular"/>
          <w:color w:val="231F20"/>
          <w:spacing w:val="41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3"/>
          <w:sz w:val="18"/>
          <w:szCs w:val="18"/>
        </w:rPr>
        <w:t>kWh/a.</w:t>
      </w:r>
      <w:r>
        <w:rPr>
          <w:rFonts w:ascii="Theinhardt Regular" w:eastAsia="Theinhardt Regular" w:hAnsi="Theinhardt Regular" w:cs="Theinhardt Regular"/>
          <w:color w:val="231F20"/>
          <w:spacing w:val="30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La</w:t>
      </w:r>
      <w:r>
        <w:rPr>
          <w:rFonts w:ascii="Theinhardt Regular" w:eastAsia="Theinhardt Regular" w:hAnsi="Theinhardt Regular" w:cs="Theinhardt Regular"/>
          <w:color w:val="231F20"/>
          <w:spacing w:val="41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chaleur</w:t>
      </w:r>
      <w:r>
        <w:rPr>
          <w:rFonts w:ascii="Theinhardt Regular" w:eastAsia="Theinhardt Regular" w:hAnsi="Theinhardt Regular" w:cs="Theinhardt Regular"/>
          <w:color w:val="231F20"/>
          <w:spacing w:val="41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résiduelle</w:t>
      </w:r>
      <w:r>
        <w:rPr>
          <w:rFonts w:ascii="Theinhardt Regular" w:eastAsia="Theinhardt Regular" w:hAnsi="Theinhardt Regular" w:cs="Theinhardt Regular"/>
          <w:color w:val="231F20"/>
          <w:spacing w:val="28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des</w:t>
      </w:r>
      <w:r>
        <w:rPr>
          <w:rFonts w:ascii="Theinhardt Regular" w:eastAsia="Theinhardt Regular" w:hAnsi="Theinhardt Regular" w:cs="Theinhardt Regular"/>
          <w:color w:val="231F20"/>
          <w:spacing w:val="35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compresseurs</w:t>
      </w:r>
      <w:r>
        <w:rPr>
          <w:rFonts w:ascii="Theinhardt Regular" w:eastAsia="Theinhardt Regular" w:hAnsi="Theinhardt Regular" w:cs="Theinhardt Regular"/>
          <w:color w:val="231F20"/>
          <w:spacing w:val="36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produisant</w:t>
      </w:r>
      <w:r>
        <w:rPr>
          <w:rFonts w:ascii="Theinhardt Regular" w:eastAsia="Theinhardt Regular" w:hAnsi="Theinhardt Regular" w:cs="Theinhardt Regular"/>
          <w:color w:val="231F20"/>
          <w:spacing w:val="35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la</w:t>
      </w:r>
      <w:r>
        <w:rPr>
          <w:rFonts w:ascii="Theinhardt Regular" w:eastAsia="Theinhardt Regular" w:hAnsi="Theinhardt Regular" w:cs="Theinhardt Regular"/>
          <w:color w:val="231F20"/>
          <w:spacing w:val="36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glace</w:t>
      </w:r>
      <w:r>
        <w:rPr>
          <w:rFonts w:ascii="Theinhardt Regular" w:eastAsia="Theinhardt Regular" w:hAnsi="Theinhardt Regular" w:cs="Theinhardt Regular"/>
          <w:color w:val="231F20"/>
          <w:spacing w:val="36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est</w:t>
      </w:r>
      <w:r>
        <w:rPr>
          <w:rFonts w:ascii="Theinhardt Regular" w:eastAsia="Theinhardt Regular" w:hAnsi="Theinhardt Regular" w:cs="Theinhardt Regular"/>
          <w:color w:val="231F20"/>
          <w:spacing w:val="22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3"/>
          <w:sz w:val="18"/>
          <w:szCs w:val="18"/>
        </w:rPr>
        <w:t>récupérée</w:t>
      </w:r>
      <w:r>
        <w:rPr>
          <w:rFonts w:ascii="Theinhardt Regular" w:eastAsia="Theinhardt Regular" w:hAnsi="Theinhardt Regular" w:cs="Theinhardt Regular"/>
          <w:color w:val="231F20"/>
          <w:spacing w:val="18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pour</w:t>
      </w:r>
      <w:r>
        <w:rPr>
          <w:rFonts w:ascii="Theinhardt Regular" w:eastAsia="Theinhardt Regular" w:hAnsi="Theinhardt Regular" w:cs="Theinhardt Regular"/>
          <w:color w:val="231F20"/>
          <w:spacing w:val="18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chauffer</w:t>
      </w:r>
      <w:r>
        <w:rPr>
          <w:rFonts w:ascii="Theinhardt Regular" w:eastAsia="Theinhardt Regular" w:hAnsi="Theinhardt Regular" w:cs="Theinhardt Regular"/>
          <w:color w:val="231F20"/>
          <w:spacing w:val="18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les</w:t>
      </w:r>
      <w:r>
        <w:rPr>
          <w:rFonts w:ascii="Theinhardt Regular" w:eastAsia="Theinhardt Regular" w:hAnsi="Theinhardt Regular" w:cs="Theinhardt Regular"/>
          <w:color w:val="231F20"/>
          <w:spacing w:val="18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locaux</w:t>
      </w:r>
      <w:r>
        <w:rPr>
          <w:rFonts w:ascii="Theinhardt Regular" w:eastAsia="Theinhardt Regular" w:hAnsi="Theinhardt Regular" w:cs="Theinhardt Regular"/>
          <w:color w:val="231F20"/>
          <w:spacing w:val="18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du</w:t>
      </w:r>
      <w:r>
        <w:rPr>
          <w:rFonts w:ascii="Theinhardt Regular" w:eastAsia="Theinhardt Regular" w:hAnsi="Theinhardt Regular" w:cs="Theinhardt Regular"/>
          <w:color w:val="231F20"/>
          <w:spacing w:val="18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3"/>
          <w:sz w:val="18"/>
          <w:szCs w:val="18"/>
        </w:rPr>
        <w:t>res-</w:t>
      </w:r>
      <w:r>
        <w:rPr>
          <w:rFonts w:ascii="Theinhardt Regular" w:eastAsia="Theinhardt Regular" w:hAnsi="Theinhardt Regular" w:cs="Theinhardt Regular"/>
          <w:color w:val="231F20"/>
          <w:spacing w:val="33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taurant</w:t>
      </w:r>
      <w:r>
        <w:rPr>
          <w:rFonts w:ascii="Theinhardt Regular" w:eastAsia="Theinhardt Regular" w:hAnsi="Theinhardt Regular" w:cs="Theinhardt Regular"/>
          <w:color w:val="231F20"/>
          <w:spacing w:val="-8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et</w:t>
      </w:r>
      <w:r>
        <w:rPr>
          <w:rFonts w:ascii="Theinhardt Regular" w:eastAsia="Theinhardt Regular" w:hAnsi="Theinhardt Regular" w:cs="Theinhardt Regular"/>
          <w:color w:val="231F20"/>
          <w:spacing w:val="-8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les</w:t>
      </w:r>
      <w:r>
        <w:rPr>
          <w:rFonts w:ascii="Theinhardt Regular" w:eastAsia="Theinhardt Regular" w:hAnsi="Theinhardt Regular" w:cs="Theinhardt Regular"/>
          <w:color w:val="231F20"/>
          <w:spacing w:val="-8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vestiaires.</w:t>
      </w:r>
      <w:r>
        <w:rPr>
          <w:rFonts w:ascii="Theinhardt Regular" w:eastAsia="Theinhardt Regular" w:hAnsi="Theinhardt Regular" w:cs="Theinhardt Regular"/>
          <w:color w:val="231F20"/>
          <w:spacing w:val="-19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En</w:t>
      </w:r>
      <w:r>
        <w:rPr>
          <w:rFonts w:ascii="Theinhardt Regular" w:eastAsia="Theinhardt Regular" w:hAnsi="Theinhardt Regular" w:cs="Theinhardt Regular"/>
          <w:color w:val="231F20"/>
          <w:spacing w:val="-8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cas</w:t>
      </w:r>
      <w:r>
        <w:rPr>
          <w:rFonts w:ascii="Theinhardt Regular" w:eastAsia="Theinhardt Regular" w:hAnsi="Theinhardt Regular" w:cs="Theinhardt Regular"/>
          <w:color w:val="231F20"/>
          <w:spacing w:val="-8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de</w:t>
      </w:r>
      <w:r>
        <w:rPr>
          <w:rFonts w:ascii="Theinhardt Regular" w:eastAsia="Theinhardt Regular" w:hAnsi="Theinhardt Regular" w:cs="Theinhardt Regular"/>
          <w:color w:val="231F20"/>
          <w:spacing w:val="-8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nécessité,</w:t>
      </w:r>
      <w:r>
        <w:rPr>
          <w:rFonts w:ascii="Theinhardt Regular" w:eastAsia="Theinhardt Regular" w:hAnsi="Theinhardt Regular" w:cs="Theinhardt Regular"/>
          <w:color w:val="231F20"/>
          <w:spacing w:val="39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il</w:t>
      </w:r>
      <w:r>
        <w:rPr>
          <w:rFonts w:ascii="Theinhardt Regular" w:eastAsia="Theinhardt Regular" w:hAnsi="Theinhardt Regular" w:cs="Theinhardt Regular"/>
          <w:color w:val="231F20"/>
          <w:spacing w:val="22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serait</w:t>
      </w:r>
      <w:r>
        <w:rPr>
          <w:rFonts w:ascii="Theinhardt Regular" w:eastAsia="Theinhardt Regular" w:hAnsi="Theinhardt Regular" w:cs="Theinhardt Regular"/>
          <w:color w:val="231F20"/>
          <w:spacing w:val="22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aussi</w:t>
      </w:r>
      <w:r>
        <w:rPr>
          <w:rFonts w:ascii="Theinhardt Regular" w:eastAsia="Theinhardt Regular" w:hAnsi="Theinhardt Regular" w:cs="Theinhardt Regular"/>
          <w:color w:val="231F20"/>
          <w:spacing w:val="22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possible</w:t>
      </w:r>
      <w:r>
        <w:rPr>
          <w:rFonts w:ascii="Theinhardt Regular" w:eastAsia="Theinhardt Regular" w:hAnsi="Theinhardt Regular" w:cs="Theinhardt Regular"/>
          <w:color w:val="231F20"/>
          <w:spacing w:val="22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de</w:t>
      </w:r>
      <w:r>
        <w:rPr>
          <w:rFonts w:ascii="Theinhardt Regular" w:eastAsia="Theinhardt Regular" w:hAnsi="Theinhardt Regular" w:cs="Theinhardt Regular"/>
          <w:color w:val="231F20"/>
          <w:spacing w:val="22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se</w:t>
      </w:r>
      <w:r>
        <w:rPr>
          <w:rFonts w:ascii="Theinhardt Regular" w:eastAsia="Theinhardt Regular" w:hAnsi="Theinhardt Regular" w:cs="Theinhardt Regular"/>
          <w:color w:val="231F20"/>
          <w:spacing w:val="22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connecter</w:t>
      </w:r>
      <w:r>
        <w:rPr>
          <w:rFonts w:ascii="Theinhardt Regular" w:eastAsia="Theinhardt Regular" w:hAnsi="Theinhardt Regular" w:cs="Theinhardt Regular"/>
          <w:color w:val="231F20"/>
          <w:spacing w:val="22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au</w:t>
      </w:r>
      <w:r>
        <w:rPr>
          <w:rFonts w:ascii="Theinhardt Regular" w:eastAsia="Theinhardt Regular" w:hAnsi="Theinhardt Regular" w:cs="Theinhardt Regular"/>
          <w:color w:val="231F20"/>
          <w:spacing w:val="24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réseau</w:t>
      </w:r>
      <w:r>
        <w:rPr>
          <w:rFonts w:ascii="Theinhardt Regular" w:eastAsia="Theinhardt Regular" w:hAnsi="Theinhardt Regular" w:cs="Theinhardt Regular"/>
          <w:color w:val="231F20"/>
          <w:spacing w:val="25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de</w:t>
      </w:r>
      <w:r>
        <w:rPr>
          <w:rFonts w:ascii="Theinhardt Regular" w:eastAsia="Theinhardt Regular" w:hAnsi="Theinhardt Regular" w:cs="Theinhardt Regular"/>
          <w:color w:val="231F20"/>
          <w:spacing w:val="26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chaleur</w:t>
      </w:r>
      <w:r>
        <w:rPr>
          <w:rFonts w:ascii="Theinhardt Regular" w:eastAsia="Theinhardt Regular" w:hAnsi="Theinhardt Regular" w:cs="Theinhardt Regular"/>
          <w:color w:val="231F20"/>
          <w:spacing w:val="25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de</w:t>
      </w:r>
      <w:r>
        <w:rPr>
          <w:rFonts w:ascii="Theinhardt Regular" w:eastAsia="Theinhardt Regular" w:hAnsi="Theinhardt Regular" w:cs="Theinhardt Regular"/>
          <w:color w:val="231F20"/>
          <w:spacing w:val="26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la</w:t>
      </w:r>
      <w:r>
        <w:rPr>
          <w:rFonts w:ascii="Theinhardt Regular" w:eastAsia="Theinhardt Regular" w:hAnsi="Theinhardt Regular" w:cs="Theinhardt Regular"/>
          <w:color w:val="231F20"/>
          <w:spacing w:val="26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halle</w:t>
      </w:r>
      <w:r>
        <w:rPr>
          <w:rFonts w:ascii="Theinhardt Regular" w:eastAsia="Theinhardt Regular" w:hAnsi="Theinhardt Regular" w:cs="Theinhardt Regular"/>
          <w:color w:val="231F20"/>
          <w:spacing w:val="25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de</w:t>
      </w:r>
      <w:r>
        <w:rPr>
          <w:rFonts w:ascii="Theinhardt Regular" w:eastAsia="Theinhardt Regular" w:hAnsi="Theinhardt Regular" w:cs="Theinhardt Regular"/>
          <w:color w:val="231F20"/>
          <w:spacing w:val="26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sport</w:t>
      </w:r>
      <w:r>
        <w:rPr>
          <w:rFonts w:ascii="Theinhardt Regular" w:eastAsia="Theinhardt Regular" w:hAnsi="Theinhardt Regular" w:cs="Theinhardt Regular"/>
          <w:color w:val="231F20"/>
          <w:spacing w:val="25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at-</w:t>
      </w:r>
      <w:r>
        <w:rPr>
          <w:rFonts w:ascii="Theinhardt Regular" w:eastAsia="Theinhardt Regular" w:hAnsi="Theinhardt Regular" w:cs="Theinhardt Regular"/>
          <w:color w:val="231F20"/>
          <w:spacing w:val="21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tenante.</w:t>
      </w:r>
    </w:p>
    <w:p w14:paraId="6C053ED3" w14:textId="77777777" w:rsidR="009B6FE4" w:rsidRDefault="006522BF">
      <w:pPr>
        <w:spacing w:before="15" w:line="232" w:lineRule="auto"/>
        <w:ind w:left="108" w:firstLine="226"/>
        <w:jc w:val="both"/>
        <w:rPr>
          <w:rFonts w:ascii="Theinhardt Regular" w:eastAsia="Theinhardt Regular" w:hAnsi="Theinhardt Regular" w:cs="Theinhardt Regular"/>
          <w:sz w:val="18"/>
          <w:szCs w:val="18"/>
        </w:rPr>
      </w:pP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Déjà</w:t>
      </w:r>
      <w:r>
        <w:rPr>
          <w:rFonts w:ascii="Theinhardt Regular" w:eastAsia="Theinhardt Regular" w:hAnsi="Theinhardt Regular" w:cs="Theinhardt Regular"/>
          <w:color w:val="231F20"/>
          <w:spacing w:val="-8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impressionnante</w:t>
      </w:r>
      <w:r>
        <w:rPr>
          <w:rFonts w:ascii="Theinhardt Regular" w:eastAsia="Theinhardt Regular" w:hAnsi="Theinhardt Regular" w:cs="Theinhardt Regular"/>
          <w:color w:val="231F20"/>
          <w:spacing w:val="-8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avec</w:t>
      </w:r>
      <w:r>
        <w:rPr>
          <w:rFonts w:ascii="Theinhardt Regular" w:eastAsia="Theinhardt Regular" w:hAnsi="Theinhardt Regular" w:cs="Theinhardt Regular"/>
          <w:color w:val="231F20"/>
          <w:spacing w:val="-7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ses</w:t>
      </w:r>
      <w:r>
        <w:rPr>
          <w:rFonts w:ascii="Theinhardt Regular" w:eastAsia="Theinhardt Regular" w:hAnsi="Theinhardt Regular" w:cs="Theinhardt Regular"/>
          <w:color w:val="231F20"/>
          <w:spacing w:val="-8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2’270</w:t>
      </w:r>
      <w:r>
        <w:rPr>
          <w:rFonts w:ascii="Theinhardt Regular" w:eastAsia="Theinhardt Regular" w:hAnsi="Theinhardt Regular" w:cs="Theinhardt Regular"/>
          <w:color w:val="231F20"/>
          <w:spacing w:val="-7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m</w:t>
      </w:r>
      <w:r>
        <w:rPr>
          <w:rFonts w:ascii="Theinhardt Regular" w:eastAsia="Theinhardt Regular" w:hAnsi="Theinhardt Regular" w:cs="Theinhardt Regular"/>
          <w:color w:val="231F20"/>
          <w:spacing w:val="-1"/>
          <w:position w:val="6"/>
          <w:sz w:val="10"/>
          <w:szCs w:val="10"/>
        </w:rPr>
        <w:t>2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,</w:t>
      </w:r>
      <w:r>
        <w:rPr>
          <w:rFonts w:ascii="Theinhardt Regular" w:eastAsia="Theinhardt Regular" w:hAnsi="Theinhardt Regular" w:cs="Theinhardt Regular"/>
          <w:color w:val="231F20"/>
          <w:spacing w:val="29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la</w:t>
      </w:r>
      <w:r>
        <w:rPr>
          <w:rFonts w:ascii="Theinhardt Regular" w:eastAsia="Theinhardt Regular" w:hAnsi="Theinhardt Regular" w:cs="Theinhardt Regular"/>
          <w:color w:val="231F20"/>
          <w:spacing w:val="-6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toiture</w:t>
      </w:r>
      <w:r>
        <w:rPr>
          <w:rFonts w:ascii="Theinhardt Regular" w:eastAsia="Theinhardt Regular" w:hAnsi="Theinhardt Regular" w:cs="Theinhardt Regular"/>
          <w:color w:val="231F20"/>
          <w:spacing w:val="-6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solaire</w:t>
      </w:r>
      <w:r>
        <w:rPr>
          <w:rFonts w:ascii="Theinhardt Regular" w:eastAsia="Theinhardt Regular" w:hAnsi="Theinhardt Regular" w:cs="Theinhardt Regular"/>
          <w:color w:val="231F20"/>
          <w:spacing w:val="-6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se</w:t>
      </w:r>
      <w:r>
        <w:rPr>
          <w:rFonts w:ascii="Theinhardt Regular" w:eastAsia="Theinhardt Regular" w:hAnsi="Theinhardt Regular" w:cs="Theinhardt Regular"/>
          <w:color w:val="231F20"/>
          <w:spacing w:val="-6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distingue</w:t>
      </w:r>
      <w:r>
        <w:rPr>
          <w:rFonts w:ascii="Theinhardt Regular" w:eastAsia="Theinhardt Regular" w:hAnsi="Theinhardt Regular" w:cs="Theinhardt Regular"/>
          <w:color w:val="231F20"/>
          <w:spacing w:val="-6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en</w:t>
      </w:r>
      <w:r>
        <w:rPr>
          <w:rFonts w:ascii="Theinhardt Regular" w:eastAsia="Theinhardt Regular" w:hAnsi="Theinhardt Regular" w:cs="Theinhardt Regular"/>
          <w:color w:val="231F20"/>
          <w:spacing w:val="-6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outre</w:t>
      </w:r>
      <w:r>
        <w:rPr>
          <w:rFonts w:ascii="Theinhardt Regular" w:eastAsia="Theinhardt Regular" w:hAnsi="Theinhardt Regular" w:cs="Theinhardt Regular"/>
          <w:color w:val="231F20"/>
          <w:spacing w:val="-6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par</w:t>
      </w:r>
      <w:r>
        <w:rPr>
          <w:rFonts w:ascii="Theinhardt Regular" w:eastAsia="Theinhardt Regular" w:hAnsi="Theinhardt Regular" w:cs="Theinhardt Regular"/>
          <w:color w:val="231F20"/>
          <w:spacing w:val="-6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sa</w:t>
      </w:r>
      <w:r>
        <w:rPr>
          <w:rFonts w:ascii="Theinhardt Regular" w:eastAsia="Theinhardt Regular" w:hAnsi="Theinhardt Regular" w:cs="Theinhardt Regular"/>
          <w:color w:val="231F20"/>
          <w:spacing w:val="21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forme</w:t>
      </w:r>
      <w:r>
        <w:rPr>
          <w:rFonts w:ascii="Theinhardt Regular" w:eastAsia="Theinhardt Regular" w:hAnsi="Theinhardt Regular" w:cs="Theinhardt Regular"/>
          <w:color w:val="231F20"/>
          <w:spacing w:val="5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incurvée</w:t>
      </w:r>
      <w:r>
        <w:rPr>
          <w:rFonts w:ascii="Theinhardt Regular" w:eastAsia="Theinhardt Regular" w:hAnsi="Theinhardt Regular" w:cs="Theinhardt Regular"/>
          <w:color w:val="231F20"/>
          <w:spacing w:val="5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élégante.</w:t>
      </w:r>
      <w:r>
        <w:rPr>
          <w:rFonts w:ascii="Theinhardt Regular" w:eastAsia="Theinhardt Regular" w:hAnsi="Theinhardt Regular" w:cs="Theinhardt Regular"/>
          <w:color w:val="231F20"/>
          <w:spacing w:val="-6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La</w:t>
      </w:r>
      <w:r>
        <w:rPr>
          <w:rFonts w:ascii="Theinhardt Regular" w:eastAsia="Theinhardt Regular" w:hAnsi="Theinhardt Regular" w:cs="Theinhardt Regular"/>
          <w:color w:val="231F20"/>
          <w:spacing w:val="5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faible</w:t>
      </w:r>
      <w:r>
        <w:rPr>
          <w:rFonts w:ascii="Theinhardt Regular" w:eastAsia="Theinhardt Regular" w:hAnsi="Theinhardt Regular" w:cs="Theinhardt Regular"/>
          <w:color w:val="231F20"/>
          <w:spacing w:val="5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pente</w:t>
      </w:r>
      <w:r>
        <w:rPr>
          <w:rFonts w:ascii="Theinhardt Regular" w:eastAsia="Theinhardt Regular" w:hAnsi="Theinhardt Regular" w:cs="Theinhardt Regular"/>
          <w:color w:val="231F20"/>
          <w:spacing w:val="5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au</w:t>
      </w:r>
      <w:r>
        <w:rPr>
          <w:rFonts w:ascii="Theinhardt Regular" w:eastAsia="Theinhardt Regular" w:hAnsi="Theinhardt Regular" w:cs="Theinhardt Regular"/>
          <w:color w:val="231F20"/>
          <w:spacing w:val="30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 xml:space="preserve">faîte s’incline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progressivement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 xml:space="preserve"> de 14°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à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 xml:space="preserve"> 60°</w:t>
      </w:r>
      <w:r>
        <w:rPr>
          <w:rFonts w:ascii="Theinhardt Regular" w:eastAsia="Theinhardt Regular" w:hAnsi="Theinhardt Regular" w:cs="Theinhardt Regular"/>
          <w:color w:val="231F20"/>
          <w:spacing w:val="28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en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 xml:space="preserve"> direction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du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long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pan.</w:t>
      </w:r>
    </w:p>
    <w:p w14:paraId="20482562" w14:textId="77777777" w:rsidR="009B6FE4" w:rsidRDefault="006522BF">
      <w:pPr>
        <w:spacing w:line="232" w:lineRule="auto"/>
        <w:ind w:left="108" w:right="8" w:firstLine="226"/>
        <w:jc w:val="both"/>
        <w:rPr>
          <w:rFonts w:ascii="Theinhardt Regular" w:eastAsia="Theinhardt Regular" w:hAnsi="Theinhardt Regular" w:cs="Theinhardt Regular"/>
          <w:sz w:val="18"/>
          <w:szCs w:val="18"/>
        </w:rPr>
      </w:pPr>
      <w:r>
        <w:rPr>
          <w:rFonts w:ascii="Theinhardt Regular" w:eastAsia="Theinhardt Regular" w:hAnsi="Theinhardt Regular" w:cs="Theinhardt Regular"/>
          <w:color w:val="231F20"/>
          <w:spacing w:val="-3"/>
          <w:sz w:val="18"/>
          <w:szCs w:val="18"/>
        </w:rPr>
        <w:t>L’autoproduction</w:t>
      </w:r>
      <w:r>
        <w:rPr>
          <w:rFonts w:ascii="Theinhardt Regular" w:eastAsia="Theinhardt Regular" w:hAnsi="Theinhardt Regular" w:cs="Theinhardt Regular"/>
          <w:color w:val="231F20"/>
          <w:spacing w:val="-13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du</w:t>
      </w:r>
      <w:r>
        <w:rPr>
          <w:rFonts w:ascii="Theinhardt Regular" w:eastAsia="Theinhardt Regular" w:hAnsi="Theinhardt Regular" w:cs="Theinhardt Regular"/>
          <w:color w:val="231F20"/>
          <w:spacing w:val="-13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BEP</w:t>
      </w:r>
      <w:r>
        <w:rPr>
          <w:rFonts w:ascii="Theinhardt Regular" w:eastAsia="Theinhardt Regular" w:hAnsi="Theinhardt Regular" w:cs="Theinhardt Regular"/>
          <w:color w:val="231F20"/>
          <w:spacing w:val="-13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pourrait</w:t>
      </w:r>
      <w:r>
        <w:rPr>
          <w:rFonts w:ascii="Theinhardt Regular" w:eastAsia="Theinhardt Regular" w:hAnsi="Theinhardt Regular" w:cs="Theinhardt Regular"/>
          <w:color w:val="231F20"/>
          <w:spacing w:val="-13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être</w:t>
      </w:r>
      <w:r>
        <w:rPr>
          <w:rFonts w:ascii="Theinhardt Regular" w:eastAsia="Theinhardt Regular" w:hAnsi="Theinhardt Regular" w:cs="Theinhardt Regular"/>
          <w:color w:val="231F20"/>
          <w:spacing w:val="-13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en-</w:t>
      </w:r>
      <w:r>
        <w:rPr>
          <w:rFonts w:ascii="Theinhardt Regular" w:eastAsia="Theinhardt Regular" w:hAnsi="Theinhardt Regular" w:cs="Theinhardt Regular"/>
          <w:color w:val="231F20"/>
          <w:spacing w:val="21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3"/>
          <w:sz w:val="18"/>
          <w:szCs w:val="18"/>
        </w:rPr>
        <w:t>core</w:t>
      </w:r>
      <w:r>
        <w:rPr>
          <w:rFonts w:ascii="Theinhardt Regular" w:eastAsia="Theinhardt Regular" w:hAnsi="Theinhardt Regular" w:cs="Theinhardt Regular"/>
          <w:color w:val="231F20"/>
          <w:spacing w:val="4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bien</w:t>
      </w:r>
      <w:r>
        <w:rPr>
          <w:rFonts w:ascii="Theinhardt Regular" w:eastAsia="Theinhardt Regular" w:hAnsi="Theinhardt Regular" w:cs="Theinhardt Regular"/>
          <w:color w:val="231F20"/>
          <w:spacing w:val="4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plus</w:t>
      </w:r>
      <w:r>
        <w:rPr>
          <w:rFonts w:ascii="Theinhardt Regular" w:eastAsia="Theinhardt Regular" w:hAnsi="Theinhardt Regular" w:cs="Theinhardt Regular"/>
          <w:color w:val="231F20"/>
          <w:spacing w:val="4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élevée</w:t>
      </w:r>
      <w:r>
        <w:rPr>
          <w:rFonts w:ascii="Theinhardt Regular" w:eastAsia="Theinhardt Regular" w:hAnsi="Theinhardt Regular" w:cs="Theinhardt Regular"/>
          <w:color w:val="231F20"/>
          <w:spacing w:val="4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grâce</w:t>
      </w:r>
      <w:r>
        <w:rPr>
          <w:rFonts w:ascii="Theinhardt Regular" w:eastAsia="Theinhardt Regular" w:hAnsi="Theinhardt Regular" w:cs="Theinhardt Regular"/>
          <w:color w:val="231F20"/>
          <w:spacing w:val="4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à</w:t>
      </w:r>
      <w:r>
        <w:rPr>
          <w:rFonts w:ascii="Theinhardt Regular" w:eastAsia="Theinhardt Regular" w:hAnsi="Theinhardt Regular" w:cs="Theinhardt Regular"/>
          <w:color w:val="231F20"/>
          <w:spacing w:val="4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un</w:t>
      </w:r>
      <w:r>
        <w:rPr>
          <w:rFonts w:ascii="Theinhardt Regular" w:eastAsia="Theinhardt Regular" w:hAnsi="Theinhardt Regular" w:cs="Theinhardt Regular"/>
          <w:color w:val="231F20"/>
          <w:spacing w:val="4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nouvel</w:t>
      </w:r>
      <w:r>
        <w:rPr>
          <w:rFonts w:ascii="Theinhardt Regular" w:eastAsia="Theinhardt Regular" w:hAnsi="Theinhardt Regular" w:cs="Theinhardt Regular"/>
          <w:color w:val="231F20"/>
          <w:spacing w:val="4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as-</w:t>
      </w:r>
      <w:r>
        <w:rPr>
          <w:rFonts w:ascii="Theinhardt Regular" w:eastAsia="Theinhardt Regular" w:hAnsi="Theinhardt Regular" w:cs="Theinhardt Regular"/>
          <w:color w:val="231F20"/>
          <w:spacing w:val="29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sainissement,</w:t>
      </w:r>
      <w:r>
        <w:rPr>
          <w:rFonts w:ascii="Theinhardt Regular" w:eastAsia="Theinhardt Regular" w:hAnsi="Theinhardt Regular" w:cs="Theinhardt Regular"/>
          <w:color w:val="231F20"/>
          <w:spacing w:val="-7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qui</w:t>
      </w:r>
      <w:r>
        <w:rPr>
          <w:rFonts w:ascii="Theinhardt Regular" w:eastAsia="Theinhardt Regular" w:hAnsi="Theinhardt Regular" w:cs="Theinhardt Regular"/>
          <w:color w:val="231F20"/>
          <w:spacing w:val="4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3"/>
          <w:sz w:val="18"/>
          <w:szCs w:val="18"/>
        </w:rPr>
        <w:t>renforcerait</w:t>
      </w:r>
      <w:r>
        <w:rPr>
          <w:rFonts w:ascii="Theinhardt Regular" w:eastAsia="Theinhardt Regular" w:hAnsi="Theinhardt Regular" w:cs="Theinhardt Regular"/>
          <w:color w:val="231F20"/>
          <w:spacing w:val="4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l’isolation</w:t>
      </w:r>
      <w:r>
        <w:rPr>
          <w:rFonts w:ascii="Theinhardt Regular" w:eastAsia="Theinhardt Regular" w:hAnsi="Theinhardt Regular" w:cs="Theinhardt Regular"/>
          <w:color w:val="231F20"/>
          <w:spacing w:val="4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des</w:t>
      </w:r>
      <w:r>
        <w:rPr>
          <w:rFonts w:ascii="Theinhardt Regular" w:eastAsia="Theinhardt Regular" w:hAnsi="Theinhardt Regular" w:cs="Theinhardt Regular"/>
          <w:color w:val="231F20"/>
          <w:spacing w:val="26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locaux</w:t>
      </w:r>
      <w:r>
        <w:rPr>
          <w:rFonts w:ascii="Theinhardt Regular" w:eastAsia="Theinhardt Regular" w:hAnsi="Theinhardt Regular" w:cs="Theinhardt Regular"/>
          <w:color w:val="231F20"/>
          <w:spacing w:val="5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chauffés</w:t>
      </w:r>
      <w:r>
        <w:rPr>
          <w:rFonts w:ascii="Theinhardt Regular" w:eastAsia="Theinhardt Regular" w:hAnsi="Theinhardt Regular" w:cs="Theinhardt Regular"/>
          <w:color w:val="231F20"/>
          <w:spacing w:val="5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et</w:t>
      </w:r>
      <w:r>
        <w:rPr>
          <w:rFonts w:ascii="Theinhardt Regular" w:eastAsia="Theinhardt Regular" w:hAnsi="Theinhardt Regular" w:cs="Theinhardt Regular"/>
          <w:color w:val="231F20"/>
          <w:spacing w:val="5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exploiterait</w:t>
      </w:r>
      <w:r>
        <w:rPr>
          <w:rFonts w:ascii="Theinhardt Regular" w:eastAsia="Theinhardt Regular" w:hAnsi="Theinhardt Regular" w:cs="Theinhardt Regular"/>
          <w:color w:val="231F20"/>
          <w:spacing w:val="5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la</w:t>
      </w:r>
      <w:r>
        <w:rPr>
          <w:rFonts w:ascii="Theinhardt Regular" w:eastAsia="Theinhardt Regular" w:hAnsi="Theinhardt Regular" w:cs="Theinhardt Regular"/>
          <w:color w:val="231F20"/>
          <w:spacing w:val="5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surface</w:t>
      </w:r>
      <w:r>
        <w:rPr>
          <w:rFonts w:ascii="Theinhardt Regular" w:eastAsia="Theinhardt Regular" w:hAnsi="Theinhardt Regular" w:cs="Theinhardt Regular"/>
          <w:color w:val="231F20"/>
          <w:spacing w:val="5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de</w:t>
      </w:r>
      <w:r>
        <w:rPr>
          <w:rFonts w:ascii="Theinhardt Regular" w:eastAsia="Theinhardt Regular" w:hAnsi="Theinhardt Regular" w:cs="Theinhardt Regular"/>
          <w:color w:val="231F20"/>
          <w:spacing w:val="29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3"/>
          <w:sz w:val="18"/>
          <w:szCs w:val="18"/>
        </w:rPr>
        <w:t>l’enveloppe</w:t>
      </w:r>
      <w:r>
        <w:rPr>
          <w:rFonts w:ascii="Theinhardt Regular" w:eastAsia="Theinhardt Regular" w:hAnsi="Theinhardt Regular" w:cs="Theinhardt Regular"/>
          <w:color w:val="231F20"/>
          <w:spacing w:val="5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inutilisée</w:t>
      </w:r>
      <w:r>
        <w:rPr>
          <w:rFonts w:ascii="Theinhardt Regular" w:eastAsia="Theinhardt Regular" w:hAnsi="Theinhardt Regular" w:cs="Theinhardt Regular"/>
          <w:color w:val="231F20"/>
          <w:spacing w:val="5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du</w:t>
      </w:r>
      <w:r>
        <w:rPr>
          <w:rFonts w:ascii="Theinhardt Regular" w:eastAsia="Theinhardt Regular" w:hAnsi="Theinhardt Regular" w:cs="Theinhardt Regular"/>
          <w:color w:val="231F20"/>
          <w:spacing w:val="5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bâtiment</w:t>
      </w:r>
      <w:r>
        <w:rPr>
          <w:rFonts w:ascii="Theinhardt Regular" w:eastAsia="Theinhardt Regular" w:hAnsi="Theinhardt Regular" w:cs="Theinhardt Regular"/>
          <w:color w:val="231F20"/>
          <w:spacing w:val="5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pour</w:t>
      </w:r>
      <w:r>
        <w:rPr>
          <w:rFonts w:ascii="Theinhardt Regular" w:eastAsia="Theinhardt Regular" w:hAnsi="Theinhardt Regular" w:cs="Theinhardt Regular"/>
          <w:color w:val="231F20"/>
          <w:spacing w:val="5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3"/>
          <w:sz w:val="18"/>
          <w:szCs w:val="18"/>
        </w:rPr>
        <w:t>pro-</w:t>
      </w:r>
      <w:r>
        <w:rPr>
          <w:rFonts w:ascii="Theinhardt Regular" w:eastAsia="Theinhardt Regular" w:hAnsi="Theinhardt Regular" w:cs="Theinhardt Regular"/>
          <w:color w:val="231F20"/>
          <w:spacing w:val="33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duire</w:t>
      </w:r>
      <w:r>
        <w:rPr>
          <w:rFonts w:ascii="Theinhardt Regular" w:eastAsia="Theinhardt Regular" w:hAnsi="Theinhardt Regular" w:cs="Theinhardt Regular"/>
          <w:color w:val="231F20"/>
          <w:spacing w:val="2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de</w:t>
      </w:r>
      <w:r>
        <w:rPr>
          <w:rFonts w:ascii="Theinhardt Regular" w:eastAsia="Theinhardt Regular" w:hAnsi="Theinhardt Regular" w:cs="Theinhardt Regular"/>
          <w:color w:val="231F20"/>
          <w:spacing w:val="2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3"/>
          <w:sz w:val="18"/>
          <w:szCs w:val="18"/>
        </w:rPr>
        <w:t>l’énergie</w:t>
      </w:r>
      <w:r>
        <w:rPr>
          <w:rFonts w:ascii="Theinhardt Regular" w:eastAsia="Theinhardt Regular" w:hAnsi="Theinhardt Regular" w:cs="Theinhardt Regular"/>
          <w:color w:val="231F20"/>
          <w:spacing w:val="2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solaire.</w:t>
      </w:r>
      <w:r>
        <w:rPr>
          <w:rFonts w:ascii="Theinhardt Regular" w:eastAsia="Theinhardt Regular" w:hAnsi="Theinhardt Regular" w:cs="Theinhardt Regular"/>
          <w:color w:val="231F20"/>
          <w:spacing w:val="-9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Cela</w:t>
      </w:r>
      <w:r>
        <w:rPr>
          <w:rFonts w:ascii="Theinhardt Regular" w:eastAsia="Theinhardt Regular" w:hAnsi="Theinhardt Regular" w:cs="Theinhardt Regular"/>
          <w:color w:val="231F20"/>
          <w:spacing w:val="2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permettrait</w:t>
      </w:r>
      <w:r>
        <w:rPr>
          <w:rFonts w:ascii="Theinhardt Regular" w:eastAsia="Theinhardt Regular" w:hAnsi="Theinhardt Regular" w:cs="Theinhardt Regular"/>
          <w:color w:val="231F20"/>
          <w:spacing w:val="2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à</w:t>
      </w:r>
      <w:r>
        <w:rPr>
          <w:rFonts w:ascii="Theinhardt Regular" w:eastAsia="Theinhardt Regular" w:hAnsi="Theinhardt Regular" w:cs="Theinhardt Regular"/>
          <w:color w:val="231F20"/>
          <w:spacing w:val="37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la</w:t>
      </w:r>
      <w:r>
        <w:rPr>
          <w:rFonts w:ascii="Theinhardt Regular" w:eastAsia="Theinhardt Regular" w:hAnsi="Theinhardt Regular" w:cs="Theinhardt Regular"/>
          <w:color w:val="231F20"/>
          <w:spacing w:val="8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commune</w:t>
      </w:r>
      <w:r>
        <w:rPr>
          <w:rFonts w:ascii="Theinhardt Regular" w:eastAsia="Theinhardt Regular" w:hAnsi="Theinhardt Regular" w:cs="Theinhardt Regular"/>
          <w:color w:val="231F20"/>
          <w:spacing w:val="8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de</w:t>
      </w:r>
      <w:r>
        <w:rPr>
          <w:rFonts w:ascii="Theinhardt Regular" w:eastAsia="Theinhardt Regular" w:hAnsi="Theinhardt Regular" w:cs="Theinhardt Regular"/>
          <w:color w:val="231F20"/>
          <w:spacing w:val="-6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3"/>
          <w:sz w:val="18"/>
          <w:szCs w:val="18"/>
        </w:rPr>
        <w:t>Tramelan</w:t>
      </w:r>
      <w:r>
        <w:rPr>
          <w:rFonts w:ascii="Theinhardt Regular" w:eastAsia="Theinhardt Regular" w:hAnsi="Theinhardt Regular" w:cs="Theinhardt Regular"/>
          <w:color w:val="231F20"/>
          <w:spacing w:val="8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de</w:t>
      </w:r>
      <w:r>
        <w:rPr>
          <w:rFonts w:ascii="Theinhardt Regular" w:eastAsia="Theinhardt Regular" w:hAnsi="Theinhardt Regular" w:cs="Theinhardt Regular"/>
          <w:color w:val="231F20"/>
          <w:spacing w:val="8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3"/>
          <w:sz w:val="18"/>
          <w:szCs w:val="18"/>
        </w:rPr>
        <w:t>réduire</w:t>
      </w:r>
      <w:r>
        <w:rPr>
          <w:rFonts w:ascii="Theinhardt Regular" w:eastAsia="Theinhardt Regular" w:hAnsi="Theinhardt Regular" w:cs="Theinhardt Regular"/>
          <w:color w:val="231F20"/>
          <w:spacing w:val="8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davan-</w:t>
      </w:r>
      <w:r>
        <w:rPr>
          <w:rFonts w:ascii="Theinhardt Regular" w:eastAsia="Theinhardt Regular" w:hAnsi="Theinhardt Regular" w:cs="Theinhardt Regular"/>
          <w:color w:val="231F20"/>
          <w:spacing w:val="33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tage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 xml:space="preserve"> ses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 xml:space="preserve"> émissions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de CO</w:t>
      </w:r>
      <w:r>
        <w:rPr>
          <w:rFonts w:ascii="Theinhardt Regular" w:eastAsia="Theinhardt Regular" w:hAnsi="Theinhardt Regular" w:cs="Theinhardt Regular"/>
          <w:color w:val="231F20"/>
          <w:spacing w:val="-1"/>
          <w:position w:val="-5"/>
          <w:sz w:val="10"/>
          <w:szCs w:val="10"/>
        </w:rPr>
        <w:t>2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.</w:t>
      </w:r>
    </w:p>
    <w:p w14:paraId="0ACED67B" w14:textId="77777777" w:rsidR="009B6FE4" w:rsidRDefault="006522BF">
      <w:pPr>
        <w:pStyle w:val="Textkrper"/>
        <w:spacing w:before="66" w:line="232" w:lineRule="auto"/>
        <w:jc w:val="both"/>
        <w:rPr>
          <w:i w:val="0"/>
        </w:rPr>
      </w:pPr>
      <w:r>
        <w:rPr>
          <w:i w:val="0"/>
        </w:rPr>
        <w:br w:type="column"/>
      </w:r>
      <w:r>
        <w:rPr>
          <w:color w:val="231F20"/>
          <w:spacing w:val="-1"/>
        </w:rPr>
        <w:t>Nach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der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Atomkatastrophe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Fukushima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2011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1"/>
        </w:rPr>
        <w:t>reifte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2"/>
        </w:rPr>
        <w:t>der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2"/>
        </w:rPr>
        <w:t>Gemeinde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3"/>
        </w:rPr>
        <w:t>Tramelan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Berner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Jura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die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Idee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das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asbestbelastete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Dach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der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Eiskunsthalle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durch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ein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Solardach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zu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ersetzen.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innovative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Gemeinderat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liess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das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Solarprojekt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bearbeiten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und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stellte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1"/>
        </w:rPr>
        <w:t>es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später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1"/>
        </w:rPr>
        <w:t>am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Comptoir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3"/>
        </w:rPr>
        <w:t>Tramelan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2018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6"/>
        </w:rPr>
        <w:t>vor.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2"/>
        </w:rPr>
        <w:t>der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ersten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3"/>
        </w:rPr>
        <w:t>PlusEnergie-Hockeyhalle</w:t>
      </w:r>
      <w:r>
        <w:rPr>
          <w:color w:val="231F20"/>
          <w:spacing w:val="49"/>
          <w:w w:val="99"/>
        </w:rPr>
        <w:t xml:space="preserve"> </w:t>
      </w:r>
      <w:r>
        <w:rPr>
          <w:color w:val="231F20"/>
          <w:spacing w:val="-2"/>
        </w:rPr>
        <w:t>der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3"/>
        </w:rPr>
        <w:t>Schweiz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3"/>
        </w:rPr>
        <w:t>konnte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sich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die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3"/>
        </w:rPr>
        <w:t>Bevölkerung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fi-</w:t>
      </w:r>
      <w:r>
        <w:rPr>
          <w:color w:val="231F20"/>
          <w:spacing w:val="45"/>
          <w:w w:val="101"/>
        </w:rPr>
        <w:t xml:space="preserve"> </w:t>
      </w:r>
      <w:r>
        <w:rPr>
          <w:color w:val="231F20"/>
          <w:spacing w:val="-2"/>
        </w:rPr>
        <w:t>nanziell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3"/>
        </w:rPr>
        <w:t>beteiligen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und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steuerte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700’000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8"/>
        </w:rPr>
        <w:t>Fr.</w:t>
      </w:r>
      <w:r>
        <w:rPr>
          <w:color w:val="231F20"/>
          <w:spacing w:val="37"/>
          <w:w w:val="99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das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Projekt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bei.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Die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grosse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Unterstützung</w:t>
      </w:r>
      <w:r>
        <w:rPr>
          <w:color w:val="231F20"/>
          <w:spacing w:val="37"/>
          <w:w w:val="99"/>
        </w:rPr>
        <w:t xml:space="preserve"> </w:t>
      </w:r>
      <w:r>
        <w:rPr>
          <w:color w:val="231F20"/>
          <w:spacing w:val="-2"/>
        </w:rPr>
        <w:t>des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eleganten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Solardachs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zeigte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sich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auch</w:t>
      </w:r>
      <w:r>
        <w:rPr>
          <w:color w:val="231F20"/>
        </w:rPr>
        <w:t xml:space="preserve"> in</w:t>
      </w:r>
      <w:r>
        <w:rPr>
          <w:color w:val="231F20"/>
          <w:spacing w:val="21"/>
          <w:w w:val="99"/>
        </w:rPr>
        <w:t xml:space="preserve"> </w:t>
      </w:r>
      <w:r>
        <w:rPr>
          <w:color w:val="231F20"/>
          <w:spacing w:val="-2"/>
        </w:rPr>
        <w:t>der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Abstimmung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November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2019,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bei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der</w:t>
      </w:r>
      <w:r>
        <w:rPr>
          <w:color w:val="231F20"/>
          <w:spacing w:val="27"/>
          <w:w w:val="99"/>
        </w:rPr>
        <w:t xml:space="preserve"> </w:t>
      </w:r>
      <w:r>
        <w:rPr>
          <w:color w:val="231F20"/>
          <w:spacing w:val="-1"/>
        </w:rPr>
        <w:t>fast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90%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StimmbürgerInnen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Projekt</w:t>
      </w:r>
      <w:r>
        <w:rPr>
          <w:color w:val="231F20"/>
          <w:spacing w:val="21"/>
          <w:w w:val="99"/>
        </w:rPr>
        <w:t xml:space="preserve"> </w:t>
      </w:r>
      <w:r>
        <w:rPr>
          <w:color w:val="231F20"/>
          <w:spacing w:val="-2"/>
        </w:rPr>
        <w:t>zustimmten.</w:t>
      </w:r>
    </w:p>
    <w:p w14:paraId="3C06D0CD" w14:textId="77777777" w:rsidR="009B6FE4" w:rsidRDefault="006522BF">
      <w:pPr>
        <w:pStyle w:val="Textkrper"/>
        <w:spacing w:line="232" w:lineRule="auto"/>
        <w:ind w:firstLine="226"/>
        <w:jc w:val="right"/>
        <w:rPr>
          <w:i w:val="0"/>
        </w:rPr>
      </w:pPr>
      <w:r>
        <w:rPr>
          <w:color w:val="231F20"/>
        </w:rPr>
        <w:t>Auf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der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Südseite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der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Eishalle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konnte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2020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die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411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kW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starke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PV-Anlage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realisiert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wer-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den.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Sie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3"/>
        </w:rPr>
        <w:t>erzeugt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jährlich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435’000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kWh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und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deckt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104%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Gesamtenergiebedarfs.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2"/>
        </w:rPr>
        <w:t>Baukomplex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mit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der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Eissporthalle,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dem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Res-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taurant,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mehreren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Garderoben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und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der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Zivil-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</w:rPr>
        <w:t>schutzanlage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weist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einen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jährlichen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Verbrauch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2"/>
        </w:rPr>
        <w:t>von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418’500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kWh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auf.</w:t>
      </w:r>
      <w:r>
        <w:rPr>
          <w:color w:val="231F20"/>
        </w:rPr>
        <w:t xml:space="preserve"> Um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die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Räumlichkei-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3"/>
        </w:rPr>
        <w:t>ten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des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Restaurants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und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der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Garderoben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zu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beheizen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wird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die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bei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der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Eisherstellung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er-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3"/>
        </w:rPr>
        <w:t>zeugte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Abwärme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der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Kompressoren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genutzt.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Notfall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3"/>
        </w:rPr>
        <w:t>könnten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die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beheizten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Räumlich-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3"/>
        </w:rPr>
        <w:t>keiten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der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Eishalle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auch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auf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die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3"/>
        </w:rPr>
        <w:t>Fernwärme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2"/>
        </w:rPr>
        <w:t xml:space="preserve">der </w:t>
      </w:r>
      <w:r>
        <w:rPr>
          <w:color w:val="231F20"/>
          <w:spacing w:val="-3"/>
        </w:rPr>
        <w:t>nahegelegenen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Sporthalle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zurückgreifen.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1"/>
        </w:rPr>
        <w:t>Neben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der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3"/>
        </w:rPr>
        <w:t>beeindruckenden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Grösse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von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2’270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2"/>
        </w:rPr>
        <w:t>m</w:t>
      </w:r>
      <w:proofErr w:type="gramStart"/>
      <w:r>
        <w:rPr>
          <w:color w:val="231F20"/>
          <w:spacing w:val="-2"/>
          <w:position w:val="6"/>
          <w:sz w:val="10"/>
          <w:szCs w:val="10"/>
        </w:rPr>
        <w:t>2</w:t>
      </w:r>
      <w:r>
        <w:rPr>
          <w:color w:val="231F20"/>
          <w:position w:val="6"/>
          <w:sz w:val="10"/>
          <w:szCs w:val="10"/>
        </w:rPr>
        <w:t xml:space="preserve"> </w:t>
      </w:r>
      <w:r>
        <w:rPr>
          <w:color w:val="231F20"/>
          <w:spacing w:val="17"/>
          <w:position w:val="6"/>
          <w:sz w:val="10"/>
          <w:szCs w:val="10"/>
        </w:rPr>
        <w:t xml:space="preserve"> </w:t>
      </w:r>
      <w:r>
        <w:rPr>
          <w:color w:val="231F20"/>
          <w:spacing w:val="-3"/>
        </w:rPr>
        <w:t>zeichnet</w:t>
      </w:r>
      <w:proofErr w:type="gramEnd"/>
      <w:r>
        <w:rPr>
          <w:color w:val="231F20"/>
          <w:spacing w:val="45"/>
        </w:rPr>
        <w:t xml:space="preserve"> </w:t>
      </w:r>
      <w:r>
        <w:rPr>
          <w:color w:val="231F20"/>
          <w:spacing w:val="-2"/>
        </w:rPr>
        <w:t>sich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1"/>
        </w:rPr>
        <w:t>das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3"/>
        </w:rPr>
        <w:t>ansprechende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sanierte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Dach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auch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durch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seine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elegant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3"/>
        </w:rPr>
        <w:t>ge-</w:t>
      </w:r>
      <w:r>
        <w:rPr>
          <w:color w:val="231F20"/>
          <w:spacing w:val="21"/>
          <w:w w:val="104"/>
        </w:rPr>
        <w:t xml:space="preserve"> </w:t>
      </w:r>
      <w:r>
        <w:rPr>
          <w:color w:val="231F20"/>
          <w:spacing w:val="-3"/>
        </w:rPr>
        <w:t>bogene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3"/>
        </w:rPr>
        <w:t>Form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aus.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Die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3"/>
        </w:rPr>
        <w:t>leichte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Neigung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von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14°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First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verändert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sich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allmählich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bis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auf</w:t>
      </w:r>
    </w:p>
    <w:p w14:paraId="6C851113" w14:textId="77777777" w:rsidR="009B6FE4" w:rsidRDefault="006522BF">
      <w:pPr>
        <w:pStyle w:val="Textkrper"/>
        <w:spacing w:line="228" w:lineRule="exact"/>
        <w:jc w:val="both"/>
        <w:rPr>
          <w:i w:val="0"/>
        </w:rPr>
      </w:pPr>
      <w:r>
        <w:rPr>
          <w:color w:val="231F20"/>
          <w:spacing w:val="-1"/>
        </w:rPr>
        <w:t>60°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  <w:spacing w:val="-2"/>
        </w:rPr>
        <w:t xml:space="preserve"> der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Traufseite des </w:t>
      </w:r>
      <w:r>
        <w:rPr>
          <w:color w:val="231F20"/>
          <w:spacing w:val="-1"/>
        </w:rPr>
        <w:t>Daches.</w:t>
      </w:r>
    </w:p>
    <w:p w14:paraId="47ED067B" w14:textId="77777777" w:rsidR="009B6FE4" w:rsidRDefault="006522BF">
      <w:pPr>
        <w:pStyle w:val="Textkrper"/>
        <w:spacing w:before="5" w:line="227" w:lineRule="auto"/>
        <w:ind w:right="5" w:firstLine="226"/>
        <w:jc w:val="both"/>
        <w:rPr>
          <w:i w:val="0"/>
        </w:rPr>
      </w:pPr>
      <w:r>
        <w:rPr>
          <w:color w:val="231F20"/>
          <w:spacing w:val="-2"/>
        </w:rPr>
        <w:t>Wenn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bei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der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nächsten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Sanierung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die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1"/>
        </w:rPr>
        <w:t>nur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beschränkt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3"/>
        </w:rPr>
        <w:t>vorhandene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-1"/>
        </w:rPr>
        <w:t>Dämmung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2"/>
        </w:rPr>
        <w:t>der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-1"/>
        </w:rPr>
        <w:t>be-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heizten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Räume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verstärkt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und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die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bisher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unge-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nutzte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Fläche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der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Gebäudehülle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solar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genutzt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wird, steigt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die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PEB-Eigenenergieversorgung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2"/>
        </w:rPr>
        <w:t>erheblich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an.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Dazu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sinken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die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CO</w:t>
      </w:r>
      <w:r>
        <w:rPr>
          <w:color w:val="231F20"/>
          <w:spacing w:val="-1"/>
          <w:position w:val="-5"/>
          <w:sz w:val="10"/>
        </w:rPr>
        <w:t>2</w:t>
      </w:r>
      <w:r>
        <w:rPr>
          <w:color w:val="231F20"/>
          <w:spacing w:val="-1"/>
        </w:rPr>
        <w:t>-Emissio-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nen von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Tramelan</w:t>
      </w:r>
      <w:r>
        <w:rPr>
          <w:color w:val="231F20"/>
          <w:spacing w:val="-2"/>
        </w:rPr>
        <w:t xml:space="preserve"> noch </w:t>
      </w:r>
      <w:r>
        <w:rPr>
          <w:color w:val="231F20"/>
          <w:spacing w:val="-4"/>
        </w:rPr>
        <w:t>weiter.</w:t>
      </w:r>
    </w:p>
    <w:p w14:paraId="6B1E6AD5" w14:textId="77777777" w:rsidR="009B6FE4" w:rsidRDefault="006522BF">
      <w:pPr>
        <w:spacing w:before="126"/>
        <w:ind w:left="108"/>
        <w:rPr>
          <w:rFonts w:ascii="Theinhardt Black" w:eastAsia="Theinhardt Black" w:hAnsi="Theinhardt Black" w:cs="Theinhardt Black"/>
          <w:sz w:val="14"/>
          <w:szCs w:val="14"/>
        </w:rPr>
      </w:pPr>
      <w:r>
        <w:br w:type="column"/>
      </w:r>
      <w:r>
        <w:rPr>
          <w:rFonts w:ascii="Theinhardt Black" w:hAnsi="Theinhardt Black"/>
          <w:b/>
          <w:color w:val="231F20"/>
          <w:spacing w:val="1"/>
          <w:sz w:val="14"/>
        </w:rPr>
        <w:t>Données</w:t>
      </w:r>
      <w:r>
        <w:rPr>
          <w:rFonts w:ascii="Theinhardt Black" w:hAnsi="Theinhardt Black"/>
          <w:b/>
          <w:color w:val="231F20"/>
          <w:sz w:val="14"/>
        </w:rPr>
        <w:t xml:space="preserve"> techniques</w:t>
      </w:r>
    </w:p>
    <w:p w14:paraId="08F55888" w14:textId="77777777" w:rsidR="009B6FE4" w:rsidRDefault="009B6FE4">
      <w:pPr>
        <w:spacing w:before="10"/>
        <w:rPr>
          <w:rFonts w:ascii="Theinhardt Black" w:eastAsia="Theinhardt Black" w:hAnsi="Theinhardt Black" w:cs="Theinhardt Black"/>
          <w:b/>
          <w:bCs/>
          <w:sz w:val="2"/>
          <w:szCs w:val="2"/>
        </w:rPr>
      </w:pPr>
    </w:p>
    <w:p w14:paraId="4752034B" w14:textId="77777777" w:rsidR="009B6FE4" w:rsidRDefault="006522BF">
      <w:pPr>
        <w:spacing w:line="20" w:lineRule="atLeast"/>
        <w:ind w:left="108"/>
        <w:rPr>
          <w:rFonts w:ascii="Theinhardt Black" w:eastAsia="Theinhardt Black" w:hAnsi="Theinhardt Black" w:cs="Theinhardt Black"/>
          <w:sz w:val="2"/>
          <w:szCs w:val="2"/>
        </w:rPr>
      </w:pPr>
      <w:r>
        <w:rPr>
          <w:rFonts w:ascii="Theinhardt Black" w:eastAsia="Theinhardt Black" w:hAnsi="Theinhardt Black" w:cs="Theinhardt Black"/>
          <w:sz w:val="2"/>
          <w:szCs w:val="2"/>
        </w:rPr>
      </w:r>
      <w:r>
        <w:rPr>
          <w:rFonts w:ascii="Theinhardt Black" w:eastAsia="Theinhardt Black" w:hAnsi="Theinhardt Black" w:cs="Theinhardt Black"/>
          <w:sz w:val="2"/>
          <w:szCs w:val="2"/>
        </w:rPr>
        <w:pict w14:anchorId="3CA4D250">
          <v:group id="_x0000_s1040" style="width:167.25pt;height:.45pt;mso-position-horizontal-relative:char;mso-position-vertical-relative:line" coordsize="3345,9">
            <v:group id="_x0000_s1045" style="position:absolute;left:21;top:4;width:3311;height:2" coordorigin="21,4" coordsize="3311,2">
              <v:shape id="_x0000_s1046" style="position:absolute;left:21;top:4;width:3311;height:2" coordorigin="21,4" coordsize="3311,0" path="m21,4r3311,e" filled="f" strokecolor="#231f20" strokeweight=".14994mm">
                <v:stroke dashstyle="dash"/>
                <v:path arrowok="t"/>
              </v:shape>
            </v:group>
            <v:group id="_x0000_s1043" style="position:absolute;left:4;top:4;width:2;height:2" coordorigin="4,4" coordsize="2,2">
              <v:shape id="_x0000_s1044" style="position:absolute;left:4;top:4;width:2;height:2" coordorigin="4,4" coordsize="0,0" path="m4,4r,e" filled="f" strokecolor="#231f20" strokeweight=".14994mm">
                <v:path arrowok="t"/>
              </v:shape>
            </v:group>
            <v:group id="_x0000_s1041" style="position:absolute;left:3341;top:4;width:2;height:2" coordorigin="3341,4" coordsize="2,2">
              <v:shape id="_x0000_s1042" style="position:absolute;left:3341;top:4;width:2;height:2" coordorigin="3341,4" coordsize="0,0" path="m3341,4r,e" filled="f" strokecolor="#231f20" strokeweight=".14994mm">
                <v:path arrowok="t"/>
              </v:shape>
            </v:group>
            <w10:anchorlock/>
          </v:group>
        </w:pict>
      </w:r>
    </w:p>
    <w:p w14:paraId="30551C54" w14:textId="77777777" w:rsidR="009B6FE4" w:rsidRDefault="006522BF">
      <w:pPr>
        <w:spacing w:before="20" w:line="172" w:lineRule="exact"/>
        <w:ind w:left="108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Besoin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en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énergie</w:t>
      </w:r>
    </w:p>
    <w:p w14:paraId="4C2C9250" w14:textId="77777777" w:rsidR="009B6FE4" w:rsidRDefault="006522BF">
      <w:pPr>
        <w:tabs>
          <w:tab w:val="left" w:pos="1695"/>
          <w:tab w:val="left" w:pos="2531"/>
          <w:tab w:val="left" w:pos="2993"/>
        </w:tabs>
        <w:spacing w:line="160" w:lineRule="exact"/>
        <w:ind w:left="108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SRE: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983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m</w:t>
      </w:r>
      <w:r>
        <w:rPr>
          <w:rFonts w:ascii="Theinhardt Regular"/>
          <w:color w:val="231F20"/>
          <w:spacing w:val="-1"/>
          <w:position w:val="5"/>
          <w:sz w:val="8"/>
        </w:rPr>
        <w:t>2</w:t>
      </w:r>
      <w:r>
        <w:rPr>
          <w:rFonts w:ascii="Theinhardt Regular"/>
          <w:color w:val="231F20"/>
          <w:spacing w:val="-1"/>
          <w:position w:val="5"/>
          <w:sz w:val="8"/>
        </w:rPr>
        <w:tab/>
      </w:r>
      <w:r>
        <w:rPr>
          <w:rFonts w:ascii="Theinhardt Regular"/>
          <w:color w:val="231F20"/>
          <w:sz w:val="14"/>
        </w:rPr>
        <w:t>kWh/m</w:t>
      </w:r>
      <w:r>
        <w:rPr>
          <w:rFonts w:ascii="Theinhardt Regular"/>
          <w:color w:val="231F20"/>
          <w:position w:val="5"/>
          <w:sz w:val="8"/>
        </w:rPr>
        <w:t>2</w:t>
      </w:r>
      <w:r>
        <w:rPr>
          <w:rFonts w:ascii="Theinhardt Regular"/>
          <w:color w:val="231F20"/>
          <w:sz w:val="14"/>
        </w:rPr>
        <w:t>a</w:t>
      </w:r>
      <w:r>
        <w:rPr>
          <w:rFonts w:ascii="Theinhardt Regular"/>
          <w:color w:val="231F20"/>
          <w:sz w:val="14"/>
        </w:rPr>
        <w:tab/>
        <w:t>%</w:t>
      </w:r>
      <w:r>
        <w:rPr>
          <w:rFonts w:ascii="Theinhardt Regular"/>
          <w:color w:val="231F20"/>
          <w:sz w:val="14"/>
        </w:rPr>
        <w:tab/>
        <w:t>kWh/a</w:t>
      </w:r>
    </w:p>
    <w:p w14:paraId="64F5F20F" w14:textId="77777777" w:rsidR="009B6FE4" w:rsidRDefault="006522BF">
      <w:pPr>
        <w:tabs>
          <w:tab w:val="left" w:pos="2017"/>
          <w:tab w:val="left" w:pos="2872"/>
        </w:tabs>
        <w:spacing w:line="172" w:lineRule="exact"/>
        <w:ind w:left="108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Total 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>besoins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>énerg.: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2"/>
          <w:sz w:val="14"/>
          <w:szCs w:val="14"/>
        </w:rPr>
        <w:t>426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 </w:t>
      </w:r>
      <w:r>
        <w:rPr>
          <w:rFonts w:ascii="Theinhardt Regular" w:eastAsia="Theinhardt Regular" w:hAnsi="Theinhardt Regular" w:cs="Theinhardt Regular"/>
          <w:color w:val="231F20"/>
          <w:spacing w:val="35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4"/>
          <w:szCs w:val="14"/>
        </w:rPr>
        <w:t>100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4"/>
          <w:szCs w:val="14"/>
        </w:rPr>
        <w:tab/>
      </w:r>
      <w:r>
        <w:rPr>
          <w:rFonts w:ascii="Theinhardt Bold" w:eastAsia="Theinhardt Bold" w:hAnsi="Theinhardt Bold" w:cs="Theinhardt Bold"/>
          <w:b/>
          <w:bCs/>
          <w:color w:val="231F20"/>
          <w:spacing w:val="-3"/>
          <w:sz w:val="14"/>
          <w:szCs w:val="14"/>
        </w:rPr>
        <w:t>418’470</w:t>
      </w:r>
    </w:p>
    <w:p w14:paraId="4A5411F9" w14:textId="77777777" w:rsidR="009B6FE4" w:rsidRDefault="006522BF">
      <w:pPr>
        <w:spacing w:before="32" w:line="172" w:lineRule="exact"/>
        <w:ind w:left="108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Alimentation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2"/>
          <w:sz w:val="14"/>
        </w:rPr>
        <w:t>énergétique</w:t>
      </w:r>
    </w:p>
    <w:p w14:paraId="16426636" w14:textId="77777777" w:rsidR="009B6FE4" w:rsidRDefault="006522BF">
      <w:pPr>
        <w:tabs>
          <w:tab w:val="left" w:pos="769"/>
          <w:tab w:val="left" w:pos="966"/>
          <w:tab w:val="left" w:pos="1355"/>
          <w:tab w:val="left" w:pos="2026"/>
          <w:tab w:val="left" w:pos="2531"/>
          <w:tab w:val="left" w:pos="2993"/>
        </w:tabs>
        <w:spacing w:before="6" w:line="207" w:lineRule="auto"/>
        <w:ind w:left="108" w:right="163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Regular" w:eastAsia="Theinhardt Regular" w:hAnsi="Theinhardt Regular" w:cs="Theinhardt Regular"/>
          <w:color w:val="231F20"/>
          <w:w w:val="95"/>
          <w:sz w:val="14"/>
          <w:szCs w:val="14"/>
        </w:rPr>
        <w:t>Autoprod.:</w:t>
      </w:r>
      <w:r>
        <w:rPr>
          <w:rFonts w:ascii="Theinhardt Regular" w:eastAsia="Theinhardt Regular" w:hAnsi="Theinhardt Regular" w:cs="Theinhardt Regular"/>
          <w:color w:val="231F20"/>
          <w:w w:val="95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w w:val="95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1"/>
          <w:sz w:val="14"/>
          <w:szCs w:val="14"/>
        </w:rPr>
        <w:t>m</w:t>
      </w:r>
      <w:r>
        <w:rPr>
          <w:rFonts w:ascii="Theinhardt Regular" w:eastAsia="Theinhardt Regular" w:hAnsi="Theinhardt Regular" w:cs="Theinhardt Regular"/>
          <w:color w:val="231F20"/>
          <w:spacing w:val="-1"/>
          <w:position w:val="5"/>
          <w:sz w:val="8"/>
          <w:szCs w:val="8"/>
        </w:rPr>
        <w:t>2</w:t>
      </w:r>
      <w:r>
        <w:rPr>
          <w:rFonts w:ascii="Theinhardt Regular" w:eastAsia="Theinhardt Regular" w:hAnsi="Theinhardt Regular" w:cs="Theinhardt Regular"/>
          <w:color w:val="231F20"/>
          <w:position w:val="5"/>
          <w:sz w:val="8"/>
          <w:szCs w:val="8"/>
        </w:rPr>
        <w:t xml:space="preserve">        </w:t>
      </w:r>
      <w:r>
        <w:rPr>
          <w:rFonts w:ascii="Theinhardt Regular" w:eastAsia="Theinhardt Regular" w:hAnsi="Theinhardt Regular" w:cs="Theinhardt Regular"/>
          <w:color w:val="231F20"/>
          <w:spacing w:val="1"/>
          <w:position w:val="5"/>
          <w:sz w:val="8"/>
          <w:szCs w:val="8"/>
        </w:rPr>
        <w:t xml:space="preserve"> </w:t>
      </w:r>
      <w:proofErr w:type="gramStart"/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kWc </w:t>
      </w:r>
      <w:r>
        <w:rPr>
          <w:rFonts w:ascii="Theinhardt Regular" w:eastAsia="Theinhardt Regular" w:hAnsi="Theinhardt Regular" w:cs="Theinhardt Regular"/>
          <w:color w:val="231F20"/>
          <w:spacing w:val="37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kWh</w:t>
      </w:r>
      <w:proofErr w:type="gramEnd"/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/m</w:t>
      </w:r>
      <w:r>
        <w:rPr>
          <w:rFonts w:ascii="Theinhardt Regular" w:eastAsia="Theinhardt Regular" w:hAnsi="Theinhardt Regular" w:cs="Theinhardt Regular"/>
          <w:color w:val="231F20"/>
          <w:position w:val="5"/>
          <w:sz w:val="8"/>
          <w:szCs w:val="8"/>
        </w:rPr>
        <w:t>2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a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ab/>
        <w:t>%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ab/>
        <w:t>kWh/a</w:t>
      </w:r>
      <w:r>
        <w:rPr>
          <w:rFonts w:ascii="Theinhardt Regular" w:eastAsia="Theinhardt Regular" w:hAnsi="Theinhardt Regular" w:cs="Theinhardt Regular"/>
          <w:color w:val="231F20"/>
          <w:spacing w:val="32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PV: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2"/>
          <w:sz w:val="14"/>
          <w:szCs w:val="14"/>
        </w:rPr>
        <w:t>2'274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8"/>
          <w:sz w:val="14"/>
          <w:szCs w:val="14"/>
        </w:rPr>
        <w:t>411</w:t>
      </w:r>
      <w:r>
        <w:rPr>
          <w:rFonts w:ascii="Theinhardt Regular" w:eastAsia="Theinhardt Regular" w:hAnsi="Theinhardt Regular" w:cs="Theinhardt Regular"/>
          <w:color w:val="231F20"/>
          <w:spacing w:val="-8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5"/>
          <w:sz w:val="14"/>
          <w:szCs w:val="14"/>
        </w:rPr>
        <w:t>176</w:t>
      </w:r>
      <w:r>
        <w:rPr>
          <w:rFonts w:ascii="Theinhardt Regular" w:eastAsia="Theinhardt Regular" w:hAnsi="Theinhardt Regular" w:cs="Theinhardt Regular"/>
          <w:color w:val="231F20"/>
          <w:spacing w:val="-7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4"/>
          <w:szCs w:val="14"/>
        </w:rPr>
        <w:t>103.9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  </w:t>
      </w:r>
      <w:r>
        <w:rPr>
          <w:rFonts w:ascii="Theinhardt Regular" w:eastAsia="Theinhardt Regular" w:hAnsi="Theinhardt Regular" w:cs="Theinhardt Regular"/>
          <w:color w:val="231F20"/>
          <w:spacing w:val="34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>435’030</w:t>
      </w:r>
    </w:p>
    <w:p w14:paraId="0C57D68D" w14:textId="77777777" w:rsidR="009B6FE4" w:rsidRDefault="006522BF">
      <w:pPr>
        <w:tabs>
          <w:tab w:val="left" w:pos="2531"/>
          <w:tab w:val="left" w:pos="2993"/>
        </w:tabs>
        <w:spacing w:before="41" w:line="172" w:lineRule="exact"/>
        <w:ind w:left="108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Bilan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énergétique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(énergie</w:t>
      </w:r>
      <w:r>
        <w:rPr>
          <w:rFonts w:ascii="Theinhardt Regular" w:hAnsi="Theinhardt Regular"/>
          <w:color w:val="231F20"/>
          <w:sz w:val="14"/>
        </w:rPr>
        <w:t xml:space="preserve"> finale)</w:t>
      </w:r>
      <w:r>
        <w:rPr>
          <w:rFonts w:ascii="Theinhardt Regular" w:hAnsi="Theinhardt Regular"/>
          <w:color w:val="231F20"/>
          <w:sz w:val="14"/>
        </w:rPr>
        <w:tab/>
        <w:t>%</w:t>
      </w:r>
      <w:r>
        <w:rPr>
          <w:rFonts w:ascii="Theinhardt Regular" w:hAnsi="Theinhardt Regular"/>
          <w:color w:val="231F20"/>
          <w:sz w:val="14"/>
        </w:rPr>
        <w:tab/>
      </w:r>
      <w:r>
        <w:rPr>
          <w:rFonts w:ascii="Theinhardt Regular" w:hAnsi="Theinhardt Regular"/>
          <w:color w:val="231F20"/>
          <w:spacing w:val="-1"/>
          <w:sz w:val="14"/>
        </w:rPr>
        <w:t>kWh/a</w:t>
      </w:r>
    </w:p>
    <w:p w14:paraId="20CE83CA" w14:textId="77777777" w:rsidR="009B6FE4" w:rsidRDefault="006522BF">
      <w:pPr>
        <w:tabs>
          <w:tab w:val="left" w:pos="2293"/>
        </w:tabs>
        <w:spacing w:line="160" w:lineRule="exact"/>
        <w:ind w:left="108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>Alimentation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>énergétique: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1"/>
          <w:sz w:val="14"/>
          <w:szCs w:val="14"/>
        </w:rPr>
        <w:t>103.9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  </w:t>
      </w:r>
      <w:r>
        <w:rPr>
          <w:rFonts w:ascii="Theinhardt Regular" w:eastAsia="Theinhardt Regular" w:hAnsi="Theinhardt Regular" w:cs="Theinhardt Regular"/>
          <w:color w:val="231F20"/>
          <w:spacing w:val="34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>435’030</w:t>
      </w:r>
    </w:p>
    <w:p w14:paraId="2DA2A870" w14:textId="77777777" w:rsidR="009B6FE4" w:rsidRDefault="006522BF">
      <w:pPr>
        <w:tabs>
          <w:tab w:val="left" w:pos="2411"/>
          <w:tab w:val="left" w:pos="2872"/>
        </w:tabs>
        <w:spacing w:line="160" w:lineRule="exact"/>
        <w:ind w:left="108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Total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besoins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énerg.: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1"/>
          <w:w w:val="95"/>
          <w:sz w:val="14"/>
          <w:szCs w:val="14"/>
        </w:rPr>
        <w:t>100</w:t>
      </w:r>
      <w:r>
        <w:rPr>
          <w:rFonts w:ascii="Theinhardt Regular" w:eastAsia="Theinhardt Regular" w:hAnsi="Theinhardt Regular" w:cs="Theinhardt Regular"/>
          <w:color w:val="231F20"/>
          <w:spacing w:val="-1"/>
          <w:w w:val="95"/>
          <w:sz w:val="14"/>
          <w:szCs w:val="14"/>
        </w:rPr>
        <w:tab/>
      </w:r>
      <w:r>
        <w:rPr>
          <w:rFonts w:ascii="Theinhardt Bold" w:eastAsia="Theinhardt Bold" w:hAnsi="Theinhardt Bold" w:cs="Theinhardt Bold"/>
          <w:b/>
          <w:bCs/>
          <w:color w:val="231F20"/>
          <w:spacing w:val="-3"/>
          <w:sz w:val="14"/>
          <w:szCs w:val="14"/>
        </w:rPr>
        <w:t>418’470</w:t>
      </w:r>
    </w:p>
    <w:p w14:paraId="5424922D" w14:textId="77777777" w:rsidR="009B6FE4" w:rsidRDefault="006522BF">
      <w:pPr>
        <w:tabs>
          <w:tab w:val="left" w:pos="2447"/>
          <w:tab w:val="left" w:pos="2936"/>
        </w:tabs>
        <w:spacing w:line="172" w:lineRule="exact"/>
        <w:ind w:left="108" w:hanging="1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>Surplus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>d'électricité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>solaire: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ab/>
        <w:t>3.9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ab/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16’560</w:t>
      </w:r>
    </w:p>
    <w:p w14:paraId="1A0898C0" w14:textId="77777777" w:rsidR="009B6FE4" w:rsidRDefault="006522BF">
      <w:pPr>
        <w:spacing w:before="83" w:line="160" w:lineRule="exact"/>
        <w:ind w:left="108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Confirmé</w:t>
      </w:r>
      <w:r>
        <w:rPr>
          <w:rFonts w:ascii="Theinhardt Bold" w:hAnsi="Theinhardt Bold"/>
          <w:b/>
          <w:color w:val="231F20"/>
          <w:spacing w:val="-1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par</w:t>
      </w:r>
      <w:r>
        <w:rPr>
          <w:rFonts w:ascii="Theinhardt Bold" w:hAnsi="Theinhardt Bold"/>
          <w:b/>
          <w:color w:val="231F20"/>
          <w:spacing w:val="-1"/>
          <w:sz w:val="14"/>
        </w:rPr>
        <w:t xml:space="preserve"> </w:t>
      </w:r>
      <w:r>
        <w:rPr>
          <w:rFonts w:ascii="Theinhardt Regular" w:hAnsi="Theinhardt Regular"/>
          <w:color w:val="231F20"/>
          <w:spacing w:val="2"/>
          <w:sz w:val="14"/>
        </w:rPr>
        <w:t>SET</w:t>
      </w:r>
      <w:r>
        <w:rPr>
          <w:rFonts w:ascii="Theinhardt Regular" w:hAnsi="Theinhardt Regular"/>
          <w:color w:val="231F20"/>
          <w:spacing w:val="-1"/>
          <w:sz w:val="14"/>
        </w:rPr>
        <w:t xml:space="preserve"> </w:t>
      </w:r>
      <w:r>
        <w:rPr>
          <w:rFonts w:ascii="Theinhardt Regular" w:hAnsi="Theinhardt Regular"/>
          <w:color w:val="231F20"/>
          <w:sz w:val="14"/>
        </w:rPr>
        <w:t xml:space="preserve">- </w:t>
      </w:r>
      <w:r>
        <w:rPr>
          <w:rFonts w:ascii="Theinhardt Regular" w:hAnsi="Theinhardt Regular"/>
          <w:color w:val="231F20"/>
          <w:spacing w:val="2"/>
          <w:sz w:val="14"/>
        </w:rPr>
        <w:t>Service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de</w:t>
      </w:r>
      <w:r>
        <w:rPr>
          <w:rFonts w:ascii="Theinhardt Regular" w:hAnsi="Theinhardt Regular"/>
          <w:color w:val="231F20"/>
          <w:spacing w:val="-1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l'électricité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le</w:t>
      </w:r>
      <w:r>
        <w:rPr>
          <w:rFonts w:ascii="Theinhardt Regular" w:hAnsi="Theinhardt Regular"/>
          <w:color w:val="231F20"/>
          <w:spacing w:val="-1"/>
          <w:sz w:val="14"/>
        </w:rPr>
        <w:t xml:space="preserve"> </w:t>
      </w:r>
      <w:r>
        <w:rPr>
          <w:rFonts w:ascii="Theinhardt Regular" w:hAnsi="Theinhardt Regular"/>
          <w:color w:val="231F20"/>
          <w:spacing w:val="-5"/>
          <w:sz w:val="14"/>
        </w:rPr>
        <w:t>17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août</w:t>
      </w:r>
      <w:r>
        <w:rPr>
          <w:rFonts w:ascii="Theinhardt Regular" w:hAnsi="Theinhardt Regular"/>
          <w:color w:val="231F20"/>
          <w:spacing w:val="42"/>
          <w:sz w:val="14"/>
        </w:rPr>
        <w:t xml:space="preserve"> </w:t>
      </w:r>
      <w:r>
        <w:rPr>
          <w:rFonts w:ascii="Theinhardt Regular" w:hAnsi="Theinhardt Regular"/>
          <w:color w:val="231F20"/>
          <w:spacing w:val="-2"/>
          <w:sz w:val="14"/>
        </w:rPr>
        <w:t>2021</w:t>
      </w:r>
    </w:p>
    <w:p w14:paraId="56D8AD67" w14:textId="77777777" w:rsidR="009B6FE4" w:rsidRDefault="006522BF">
      <w:pPr>
        <w:tabs>
          <w:tab w:val="left" w:pos="3440"/>
        </w:tabs>
        <w:spacing w:before="49"/>
        <w:ind w:left="108"/>
        <w:rPr>
          <w:rFonts w:ascii="Theinhardt Black" w:eastAsia="Theinhardt Black" w:hAnsi="Theinhardt Black" w:cs="Theinhardt Black"/>
          <w:sz w:val="14"/>
          <w:szCs w:val="14"/>
        </w:rPr>
      </w:pPr>
      <w:r>
        <w:rPr>
          <w:rFonts w:ascii="Theinhardt Black" w:hAnsi="Theinhardt Black"/>
          <w:b/>
          <w:color w:val="231F20"/>
          <w:spacing w:val="2"/>
          <w:sz w:val="14"/>
          <w:u w:val="dotted" w:color="231F20"/>
        </w:rPr>
        <w:t>Personnes</w:t>
      </w:r>
      <w:r>
        <w:rPr>
          <w:rFonts w:ascii="Theinhardt Black" w:hAnsi="Theinhardt Black"/>
          <w:b/>
          <w:color w:val="231F20"/>
          <w:sz w:val="14"/>
          <w:u w:val="dotted" w:color="231F20"/>
        </w:rPr>
        <w:t xml:space="preserve"> </w:t>
      </w:r>
      <w:r>
        <w:rPr>
          <w:rFonts w:ascii="Theinhardt Black" w:hAnsi="Theinhardt Black"/>
          <w:b/>
          <w:color w:val="231F20"/>
          <w:spacing w:val="1"/>
          <w:sz w:val="14"/>
          <w:u w:val="dotted" w:color="231F20"/>
        </w:rPr>
        <w:t>impliquées</w:t>
      </w:r>
      <w:r>
        <w:rPr>
          <w:rFonts w:ascii="Theinhardt Black" w:hAnsi="Theinhardt Black"/>
          <w:b/>
          <w:color w:val="231F20"/>
          <w:sz w:val="14"/>
          <w:u w:val="dotted" w:color="231F20"/>
        </w:rPr>
        <w:t xml:space="preserve"> </w:t>
      </w:r>
      <w:r>
        <w:rPr>
          <w:rFonts w:ascii="Theinhardt Black" w:hAnsi="Theinhardt Black"/>
          <w:b/>
          <w:color w:val="231F20"/>
          <w:sz w:val="14"/>
          <w:u w:val="dotted" w:color="231F20"/>
        </w:rPr>
        <w:tab/>
      </w:r>
    </w:p>
    <w:p w14:paraId="51813656" w14:textId="77777777" w:rsidR="009B6FE4" w:rsidRDefault="009B6FE4">
      <w:pPr>
        <w:spacing w:before="10"/>
        <w:rPr>
          <w:rFonts w:ascii="Theinhardt Black" w:eastAsia="Theinhardt Black" w:hAnsi="Theinhardt Black" w:cs="Theinhardt Black"/>
          <w:b/>
          <w:bCs/>
          <w:sz w:val="2"/>
          <w:szCs w:val="2"/>
        </w:rPr>
      </w:pPr>
    </w:p>
    <w:p w14:paraId="650E6CFD" w14:textId="77777777" w:rsidR="009B6FE4" w:rsidRDefault="006522BF">
      <w:pPr>
        <w:tabs>
          <w:tab w:val="left" w:pos="3444"/>
        </w:tabs>
        <w:spacing w:line="20" w:lineRule="atLeast"/>
        <w:ind w:left="108"/>
        <w:rPr>
          <w:rFonts w:ascii="Theinhardt Black" w:eastAsia="Theinhardt Black" w:hAnsi="Theinhardt Black" w:cs="Theinhardt Black"/>
          <w:sz w:val="2"/>
          <w:szCs w:val="2"/>
        </w:rPr>
      </w:pPr>
      <w:r>
        <w:rPr>
          <w:rFonts w:ascii="Theinhardt Black"/>
          <w:sz w:val="2"/>
        </w:rPr>
      </w:r>
      <w:r>
        <w:rPr>
          <w:rFonts w:ascii="Theinhardt Black"/>
          <w:sz w:val="2"/>
        </w:rPr>
        <w:pict w14:anchorId="1BD6C1D4">
          <v:group id="_x0000_s1037" style="width:.45pt;height:.45pt;mso-position-horizontal-relative:char;mso-position-vertical-relative:line" coordsize="9,9">
            <v:group id="_x0000_s1038" style="position:absolute;left:4;top:4;width:2;height:2" coordorigin="4,4" coordsize="2,2">
              <v:shape id="_x0000_s1039" style="position:absolute;left:4;top:4;width:2;height:2" coordorigin="4,4" coordsize="0,0" path="m4,4r,e" filled="f" strokecolor="#231f20" strokeweight=".14994mm">
                <v:path arrowok="t"/>
              </v:shape>
            </v:group>
            <w10:anchorlock/>
          </v:group>
        </w:pict>
      </w:r>
      <w:r>
        <w:rPr>
          <w:rFonts w:ascii="Theinhardt Black"/>
          <w:sz w:val="2"/>
        </w:rPr>
        <w:tab/>
      </w:r>
      <w:r>
        <w:rPr>
          <w:rFonts w:ascii="Theinhardt Black"/>
          <w:sz w:val="2"/>
        </w:rPr>
      </w:r>
      <w:r>
        <w:rPr>
          <w:rFonts w:ascii="Theinhardt Black"/>
          <w:sz w:val="2"/>
        </w:rPr>
        <w:pict w14:anchorId="7BF82B85">
          <v:group id="_x0000_s1034" style="width:.45pt;height:.45pt;mso-position-horizontal-relative:char;mso-position-vertical-relative:line" coordsize="9,9">
            <v:group id="_x0000_s1035" style="position:absolute;left:4;top:4;width:2;height:2" coordorigin="4,4" coordsize="2,2">
              <v:shape id="_x0000_s1036" style="position:absolute;left:4;top:4;width:2;height:2" coordorigin="4,4" coordsize="0,0" path="m4,4r,e" filled="f" strokecolor="#231f20" strokeweight=".14994mm">
                <v:path arrowok="t"/>
              </v:shape>
            </v:group>
            <w10:anchorlock/>
          </v:group>
        </w:pict>
      </w:r>
    </w:p>
    <w:p w14:paraId="75780764" w14:textId="77777777" w:rsidR="009B6FE4" w:rsidRDefault="006522BF">
      <w:pPr>
        <w:spacing w:before="20" w:line="172" w:lineRule="exact"/>
        <w:ind w:left="108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Adresse</w:t>
      </w:r>
      <w:r>
        <w:rPr>
          <w:rFonts w:ascii="Theinhardt Bold" w:hAnsi="Theinhardt Bold"/>
          <w:b/>
          <w:color w:val="231F20"/>
          <w:sz w:val="14"/>
        </w:rPr>
        <w:t xml:space="preserve"> du </w:t>
      </w:r>
      <w:r>
        <w:rPr>
          <w:rFonts w:ascii="Theinhardt Bold" w:hAnsi="Theinhardt Bold"/>
          <w:b/>
          <w:color w:val="231F20"/>
          <w:spacing w:val="1"/>
          <w:sz w:val="14"/>
        </w:rPr>
        <w:t>bâtiment</w:t>
      </w:r>
    </w:p>
    <w:p w14:paraId="18C06D3C" w14:textId="77777777" w:rsidR="009B6FE4" w:rsidRDefault="006522BF">
      <w:pPr>
        <w:spacing w:line="172" w:lineRule="exact"/>
        <w:ind w:left="108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1"/>
          <w:sz w:val="14"/>
        </w:rPr>
        <w:t>Les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Lovières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7"/>
          <w:sz w:val="14"/>
        </w:rPr>
        <w:t>11,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1"/>
          <w:sz w:val="14"/>
        </w:rPr>
        <w:t>2720</w:t>
      </w:r>
      <w:r>
        <w:rPr>
          <w:rFonts w:ascii="Theinhardt Regular" w:hAnsi="Theinhardt Regular"/>
          <w:color w:val="231F20"/>
          <w:sz w:val="14"/>
        </w:rPr>
        <w:t xml:space="preserve"> Tramelan</w:t>
      </w:r>
    </w:p>
    <w:p w14:paraId="292B4B79" w14:textId="77777777" w:rsidR="009B6FE4" w:rsidRDefault="006522BF">
      <w:pPr>
        <w:spacing w:before="112" w:line="172" w:lineRule="exact"/>
        <w:ind w:left="108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Propriétaire</w:t>
      </w:r>
    </w:p>
    <w:p w14:paraId="7CFB2F07" w14:textId="77777777" w:rsidR="009B6FE4" w:rsidRDefault="006522BF">
      <w:pPr>
        <w:spacing w:before="6" w:line="207" w:lineRule="auto"/>
        <w:ind w:left="108" w:right="78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Commune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de</w:t>
      </w:r>
      <w:r>
        <w:rPr>
          <w:rFonts w:ascii="Theinhardt Regular"/>
          <w:color w:val="231F20"/>
          <w:sz w:val="14"/>
        </w:rPr>
        <w:t xml:space="preserve"> Tramelan, </w:t>
      </w:r>
      <w:r>
        <w:rPr>
          <w:rFonts w:ascii="Theinhardt Regular"/>
          <w:color w:val="231F20"/>
          <w:spacing w:val="2"/>
          <w:sz w:val="14"/>
        </w:rPr>
        <w:t>Grand-rue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106,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2720</w:t>
      </w:r>
      <w:r>
        <w:rPr>
          <w:rFonts w:ascii="Theinhardt Regular"/>
          <w:color w:val="231F20"/>
          <w:spacing w:val="36"/>
          <w:sz w:val="14"/>
        </w:rPr>
        <w:t xml:space="preserve"> </w:t>
      </w:r>
      <w:r>
        <w:rPr>
          <w:rFonts w:ascii="Theinhardt Regular"/>
          <w:color w:val="231F20"/>
          <w:sz w:val="14"/>
        </w:rPr>
        <w:t xml:space="preserve">Tramelan, </w:t>
      </w:r>
      <w:r>
        <w:rPr>
          <w:rFonts w:ascii="Theinhardt Regular"/>
          <w:color w:val="231F20"/>
          <w:spacing w:val="1"/>
          <w:sz w:val="14"/>
        </w:rPr>
        <w:t>Philippe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Augsburger</w:t>
      </w:r>
    </w:p>
    <w:p w14:paraId="4B482A16" w14:textId="77777777" w:rsidR="009B6FE4" w:rsidRDefault="006522BF">
      <w:pPr>
        <w:spacing w:line="167" w:lineRule="exact"/>
        <w:ind w:left="108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-2"/>
          <w:sz w:val="14"/>
        </w:rPr>
        <w:t>Tél.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4"/>
          <w:sz w:val="14"/>
        </w:rPr>
        <w:t>+41</w:t>
      </w:r>
      <w:r>
        <w:rPr>
          <w:rFonts w:ascii="Theinhardt Regular" w:hAnsi="Theinhardt Regular"/>
          <w:color w:val="231F20"/>
          <w:spacing w:val="-3"/>
          <w:sz w:val="14"/>
        </w:rPr>
        <w:t xml:space="preserve"> </w:t>
      </w:r>
      <w:r>
        <w:rPr>
          <w:rFonts w:ascii="Theinhardt Regular" w:hAnsi="Theinhardt Regular"/>
          <w:color w:val="231F20"/>
          <w:spacing w:val="-2"/>
          <w:sz w:val="14"/>
        </w:rPr>
        <w:t>32</w:t>
      </w:r>
      <w:r>
        <w:rPr>
          <w:rFonts w:ascii="Theinhardt Regular" w:hAnsi="Theinhardt Regular"/>
          <w:color w:val="231F20"/>
          <w:spacing w:val="-3"/>
          <w:sz w:val="14"/>
        </w:rPr>
        <w:t xml:space="preserve"> </w:t>
      </w:r>
      <w:r>
        <w:rPr>
          <w:rFonts w:ascii="Theinhardt Regular" w:hAnsi="Theinhardt Regular"/>
          <w:color w:val="231F20"/>
          <w:sz w:val="14"/>
        </w:rPr>
        <w:t>486</w:t>
      </w:r>
      <w:r>
        <w:rPr>
          <w:rFonts w:ascii="Theinhardt Regular" w:hAnsi="Theinhardt Regular"/>
          <w:color w:val="231F20"/>
          <w:spacing w:val="-3"/>
          <w:sz w:val="14"/>
        </w:rPr>
        <w:t xml:space="preserve"> </w:t>
      </w:r>
      <w:r>
        <w:rPr>
          <w:rFonts w:ascii="Theinhardt Regular" w:hAnsi="Theinhardt Regular"/>
          <w:color w:val="231F20"/>
          <w:sz w:val="14"/>
        </w:rPr>
        <w:t>99</w:t>
      </w:r>
      <w:r>
        <w:rPr>
          <w:rFonts w:ascii="Theinhardt Regular" w:hAnsi="Theinhardt Regular"/>
          <w:color w:val="231F20"/>
          <w:spacing w:val="-3"/>
          <w:sz w:val="14"/>
        </w:rPr>
        <w:t xml:space="preserve"> </w:t>
      </w:r>
      <w:r>
        <w:rPr>
          <w:rFonts w:ascii="Theinhardt Regular" w:hAnsi="Theinhardt Regular"/>
          <w:color w:val="231F20"/>
          <w:spacing w:val="-1"/>
          <w:sz w:val="14"/>
        </w:rPr>
        <w:t>90,</w:t>
      </w:r>
      <w:r>
        <w:rPr>
          <w:rFonts w:ascii="Theinhardt Regular" w:hAnsi="Theinhardt Regular"/>
          <w:color w:val="231F20"/>
          <w:spacing w:val="-3"/>
          <w:sz w:val="14"/>
        </w:rPr>
        <w:t xml:space="preserve"> </w:t>
      </w:r>
      <w:hyperlink r:id="rId5">
        <w:r>
          <w:rPr>
            <w:rFonts w:ascii="Theinhardt Regular" w:hAnsi="Theinhardt Regular"/>
            <w:color w:val="231F20"/>
            <w:spacing w:val="1"/>
            <w:sz w:val="14"/>
          </w:rPr>
          <w:t>mairie@tramelan.ch</w:t>
        </w:r>
      </w:hyperlink>
    </w:p>
    <w:p w14:paraId="2A83624A" w14:textId="77777777" w:rsidR="009B6FE4" w:rsidRDefault="006522BF">
      <w:pPr>
        <w:spacing w:before="55" w:line="172" w:lineRule="exact"/>
        <w:ind w:left="108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Planification</w:t>
      </w:r>
      <w:r>
        <w:rPr>
          <w:rFonts w:ascii="Theinhardt Bold"/>
          <w:b/>
          <w:color w:val="231F20"/>
          <w:spacing w:val="-4"/>
          <w:sz w:val="14"/>
        </w:rPr>
        <w:t xml:space="preserve"> </w:t>
      </w:r>
      <w:r>
        <w:rPr>
          <w:rFonts w:ascii="Theinhardt Bold"/>
          <w:b/>
          <w:color w:val="231F20"/>
          <w:spacing w:val="1"/>
          <w:sz w:val="14"/>
        </w:rPr>
        <w:t>PV</w:t>
      </w:r>
    </w:p>
    <w:p w14:paraId="0D5E71A0" w14:textId="77777777" w:rsidR="009B6FE4" w:rsidRDefault="006522BF">
      <w:pPr>
        <w:spacing w:line="160" w:lineRule="exact"/>
        <w:ind w:left="108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1"/>
          <w:sz w:val="14"/>
        </w:rPr>
        <w:t>Planair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2"/>
          <w:sz w:val="14"/>
        </w:rPr>
        <w:t>SA,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Galilée</w:t>
      </w:r>
      <w:r>
        <w:rPr>
          <w:rFonts w:ascii="Theinhardt Regular" w:hAnsi="Theinhardt Regular"/>
          <w:color w:val="231F20"/>
          <w:sz w:val="14"/>
        </w:rPr>
        <w:t xml:space="preserve"> 6, </w:t>
      </w:r>
      <w:r>
        <w:rPr>
          <w:rFonts w:ascii="Theinhardt Regular" w:hAnsi="Theinhardt Regular"/>
          <w:color w:val="231F20"/>
          <w:spacing w:val="-1"/>
          <w:sz w:val="14"/>
        </w:rPr>
        <w:t>1400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2"/>
          <w:sz w:val="14"/>
        </w:rPr>
        <w:t>Yverdon-les-Bains,</w:t>
      </w:r>
    </w:p>
    <w:p w14:paraId="7B39B833" w14:textId="77777777" w:rsidR="009B6FE4" w:rsidRDefault="006522BF">
      <w:pPr>
        <w:spacing w:before="6" w:line="207" w:lineRule="auto"/>
        <w:ind w:left="108" w:right="78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-2"/>
          <w:sz w:val="14"/>
        </w:rPr>
        <w:t>Dr.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Heiniger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Leo-Philipp,</w:t>
      </w:r>
      <w:r>
        <w:rPr>
          <w:rFonts w:ascii="Theinhardt Regular" w:hAnsi="Theinhardt Regular"/>
          <w:color w:val="231F20"/>
          <w:spacing w:val="-1"/>
          <w:sz w:val="14"/>
        </w:rPr>
        <w:t xml:space="preserve"> </w:t>
      </w:r>
      <w:r>
        <w:rPr>
          <w:rFonts w:ascii="Theinhardt Regular" w:hAnsi="Theinhardt Regular"/>
          <w:color w:val="231F20"/>
          <w:spacing w:val="-2"/>
          <w:sz w:val="14"/>
        </w:rPr>
        <w:t>Tél.</w:t>
      </w:r>
      <w:r>
        <w:rPr>
          <w:rFonts w:ascii="Theinhardt Regular" w:hAnsi="Theinhardt Regular"/>
          <w:color w:val="231F20"/>
          <w:spacing w:val="-1"/>
          <w:sz w:val="14"/>
        </w:rPr>
        <w:t xml:space="preserve"> </w:t>
      </w:r>
      <w:r>
        <w:rPr>
          <w:rFonts w:ascii="Theinhardt Regular" w:hAnsi="Theinhardt Regular"/>
          <w:color w:val="231F20"/>
          <w:spacing w:val="-4"/>
          <w:sz w:val="14"/>
        </w:rPr>
        <w:t>+41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2"/>
          <w:sz w:val="14"/>
        </w:rPr>
        <w:t>24</w:t>
      </w:r>
      <w:r>
        <w:rPr>
          <w:rFonts w:ascii="Theinhardt Regular" w:hAnsi="Theinhardt Regular"/>
          <w:color w:val="231F20"/>
          <w:sz w:val="14"/>
        </w:rPr>
        <w:t xml:space="preserve"> 566 </w:t>
      </w:r>
      <w:r>
        <w:rPr>
          <w:rFonts w:ascii="Theinhardt Regular" w:hAnsi="Theinhardt Regular"/>
          <w:color w:val="231F20"/>
          <w:spacing w:val="-2"/>
          <w:sz w:val="14"/>
        </w:rPr>
        <w:t>52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2"/>
          <w:sz w:val="14"/>
        </w:rPr>
        <w:t>00</w:t>
      </w:r>
      <w:hyperlink r:id="rId6">
        <w:r>
          <w:rPr>
            <w:rFonts w:ascii="Theinhardt Regular" w:hAnsi="Theinhardt Regular"/>
            <w:color w:val="231F20"/>
            <w:spacing w:val="40"/>
            <w:sz w:val="14"/>
          </w:rPr>
          <w:t xml:space="preserve"> </w:t>
        </w:r>
        <w:r>
          <w:rPr>
            <w:rFonts w:ascii="Theinhardt Regular" w:hAnsi="Theinhardt Regular"/>
            <w:color w:val="231F20"/>
            <w:spacing w:val="1"/>
            <w:sz w:val="14"/>
          </w:rPr>
          <w:t>info@planair.ch</w:t>
        </w:r>
      </w:hyperlink>
    </w:p>
    <w:p w14:paraId="705C7BC1" w14:textId="77777777" w:rsidR="009B6FE4" w:rsidRDefault="006522BF">
      <w:pPr>
        <w:spacing w:before="61" w:line="172" w:lineRule="exact"/>
        <w:ind w:left="108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Installation</w:t>
      </w:r>
      <w:r>
        <w:rPr>
          <w:rFonts w:ascii="Theinhardt Bold"/>
          <w:b/>
          <w:color w:val="231F20"/>
          <w:sz w:val="14"/>
        </w:rPr>
        <w:t xml:space="preserve"> </w:t>
      </w:r>
      <w:r>
        <w:rPr>
          <w:rFonts w:ascii="Theinhardt Bold"/>
          <w:b/>
          <w:color w:val="231F20"/>
          <w:spacing w:val="1"/>
          <w:sz w:val="14"/>
        </w:rPr>
        <w:t>PV</w:t>
      </w:r>
    </w:p>
    <w:p w14:paraId="27048570" w14:textId="77777777" w:rsidR="009B6FE4" w:rsidRDefault="006522BF">
      <w:pPr>
        <w:spacing w:line="160" w:lineRule="exact"/>
        <w:ind w:left="108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1"/>
          <w:sz w:val="14"/>
        </w:rPr>
        <w:t>Eco6therm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Sàrl,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Montchemin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2"/>
          <w:sz w:val="14"/>
        </w:rPr>
        <w:t>18,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1"/>
          <w:sz w:val="14"/>
        </w:rPr>
        <w:t>2832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Rebeuvelier,</w:t>
      </w:r>
    </w:p>
    <w:p w14:paraId="737FE9EF" w14:textId="77777777" w:rsidR="009B6FE4" w:rsidRDefault="006522BF">
      <w:pPr>
        <w:spacing w:before="6" w:line="207" w:lineRule="auto"/>
        <w:ind w:left="108" w:right="78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1"/>
          <w:sz w:val="14"/>
        </w:rPr>
        <w:t>Rémi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Maillat,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2"/>
          <w:sz w:val="14"/>
        </w:rPr>
        <w:t>Tél.</w:t>
      </w:r>
      <w:r>
        <w:rPr>
          <w:rFonts w:ascii="Theinhardt Regular" w:hAnsi="Theinhardt Regular"/>
          <w:color w:val="231F20"/>
          <w:spacing w:val="-1"/>
          <w:sz w:val="14"/>
        </w:rPr>
        <w:t xml:space="preserve"> </w:t>
      </w:r>
      <w:r>
        <w:rPr>
          <w:rFonts w:ascii="Theinhardt Regular" w:hAnsi="Theinhardt Regular"/>
          <w:color w:val="231F20"/>
          <w:spacing w:val="-4"/>
          <w:sz w:val="14"/>
        </w:rPr>
        <w:t>+41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1"/>
          <w:sz w:val="14"/>
        </w:rPr>
        <w:t>32</w:t>
      </w:r>
      <w:r>
        <w:rPr>
          <w:rFonts w:ascii="Theinhardt Regular" w:hAnsi="Theinhardt Regular"/>
          <w:color w:val="231F20"/>
          <w:sz w:val="14"/>
        </w:rPr>
        <w:t xml:space="preserve"> 435 55 </w:t>
      </w:r>
      <w:r>
        <w:rPr>
          <w:rFonts w:ascii="Theinhardt Regular" w:hAnsi="Theinhardt Regular"/>
          <w:color w:val="231F20"/>
          <w:spacing w:val="-7"/>
          <w:sz w:val="14"/>
        </w:rPr>
        <w:t>11</w:t>
      </w:r>
      <w:hyperlink r:id="rId7">
        <w:r>
          <w:rPr>
            <w:rFonts w:ascii="Theinhardt Regular" w:hAnsi="Theinhardt Regular"/>
            <w:color w:val="231F20"/>
            <w:spacing w:val="30"/>
            <w:sz w:val="14"/>
          </w:rPr>
          <w:t xml:space="preserve"> </w:t>
        </w:r>
        <w:r>
          <w:rPr>
            <w:rFonts w:ascii="Theinhardt Regular" w:hAnsi="Theinhardt Regular"/>
            <w:color w:val="231F20"/>
            <w:spacing w:val="1"/>
            <w:sz w:val="14"/>
          </w:rPr>
          <w:t>info@eco6therm.ch</w:t>
        </w:r>
      </w:hyperlink>
    </w:p>
    <w:p w14:paraId="0D3E6446" w14:textId="77777777" w:rsidR="009B6FE4" w:rsidRDefault="006522BF">
      <w:pPr>
        <w:spacing w:before="61" w:line="172" w:lineRule="exact"/>
        <w:ind w:left="108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/>
          <w:b/>
          <w:color w:val="231F20"/>
          <w:spacing w:val="2"/>
          <w:sz w:val="14"/>
        </w:rPr>
        <w:t>Menuiserie-charpente</w:t>
      </w:r>
    </w:p>
    <w:p w14:paraId="2D997B04" w14:textId="77777777" w:rsidR="009B6FE4" w:rsidRDefault="006522BF">
      <w:pPr>
        <w:spacing w:before="6" w:line="207" w:lineRule="auto"/>
        <w:ind w:left="108" w:right="948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1"/>
          <w:sz w:val="14"/>
        </w:rPr>
        <w:t>Oppliger-bois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Sàrl,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3"/>
          <w:sz w:val="14"/>
        </w:rPr>
        <w:t>2610</w:t>
      </w:r>
      <w:r>
        <w:rPr>
          <w:rFonts w:ascii="Theinhardt Regular" w:hAnsi="Theinhardt Regular"/>
          <w:color w:val="231F20"/>
          <w:sz w:val="14"/>
        </w:rPr>
        <w:t xml:space="preserve"> St-Imier,</w:t>
      </w:r>
      <w:r>
        <w:rPr>
          <w:rFonts w:ascii="Theinhardt Regular" w:hAnsi="Theinhardt Regular"/>
          <w:color w:val="231F20"/>
          <w:spacing w:val="3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Alexandre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2"/>
          <w:sz w:val="14"/>
        </w:rPr>
        <w:t>Cattin,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2"/>
          <w:sz w:val="14"/>
        </w:rPr>
        <w:t>Tél.</w:t>
      </w:r>
      <w:r>
        <w:rPr>
          <w:rFonts w:ascii="Theinhardt Regular" w:hAnsi="Theinhardt Regular"/>
          <w:color w:val="231F20"/>
          <w:spacing w:val="-1"/>
          <w:sz w:val="14"/>
        </w:rPr>
        <w:t xml:space="preserve"> </w:t>
      </w:r>
      <w:r>
        <w:rPr>
          <w:rFonts w:ascii="Theinhardt Regular" w:hAnsi="Theinhardt Regular"/>
          <w:color w:val="231F20"/>
          <w:spacing w:val="-4"/>
          <w:sz w:val="14"/>
        </w:rPr>
        <w:t>+41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1"/>
          <w:sz w:val="14"/>
        </w:rPr>
        <w:t>32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3"/>
          <w:sz w:val="14"/>
        </w:rPr>
        <w:t>941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45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03</w:t>
      </w:r>
      <w:hyperlink r:id="rId8">
        <w:r>
          <w:rPr>
            <w:rFonts w:ascii="Theinhardt Regular" w:hAnsi="Theinhardt Regular"/>
            <w:color w:val="231F20"/>
            <w:spacing w:val="28"/>
            <w:sz w:val="14"/>
          </w:rPr>
          <w:t xml:space="preserve"> </w:t>
        </w:r>
        <w:r>
          <w:rPr>
            <w:rFonts w:ascii="Theinhardt Regular" w:hAnsi="Theinhardt Regular"/>
            <w:color w:val="231F20"/>
            <w:spacing w:val="1"/>
            <w:sz w:val="14"/>
          </w:rPr>
          <w:t>a.cattin@oppliger-bois.ch</w:t>
        </w:r>
      </w:hyperlink>
    </w:p>
    <w:p w14:paraId="74111B05" w14:textId="77777777" w:rsidR="009B6FE4" w:rsidRDefault="006522BF">
      <w:pPr>
        <w:spacing w:before="69" w:line="160" w:lineRule="exact"/>
        <w:ind w:left="108" w:right="78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2"/>
          <w:sz w:val="14"/>
        </w:rPr>
        <w:t>Ferblanterie-couverture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Yves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Senaud,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1"/>
          <w:sz w:val="14"/>
        </w:rPr>
        <w:t>2720</w:t>
      </w:r>
      <w:r>
        <w:rPr>
          <w:rFonts w:ascii="Theinhardt Regular" w:hAnsi="Theinhardt Regular"/>
          <w:color w:val="231F20"/>
          <w:sz w:val="14"/>
        </w:rPr>
        <w:t xml:space="preserve"> Tramelan,</w:t>
      </w:r>
      <w:r>
        <w:rPr>
          <w:rFonts w:ascii="Theinhardt Regular" w:hAnsi="Theinhardt Regular"/>
          <w:color w:val="231F20"/>
          <w:spacing w:val="48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Yves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Senaud,</w:t>
      </w:r>
      <w:r>
        <w:rPr>
          <w:rFonts w:ascii="Theinhardt Regular" w:hAnsi="Theinhardt Regular"/>
          <w:color w:val="231F20"/>
          <w:sz w:val="14"/>
        </w:rPr>
        <w:t xml:space="preserve"> </w:t>
      </w:r>
      <w:proofErr w:type="gramStart"/>
      <w:r>
        <w:rPr>
          <w:rFonts w:ascii="Theinhardt Regular" w:hAnsi="Theinhardt Regular"/>
          <w:color w:val="231F20"/>
          <w:spacing w:val="-4"/>
          <w:sz w:val="14"/>
        </w:rPr>
        <w:t>Tél.+</w:t>
      </w:r>
      <w:proofErr w:type="gramEnd"/>
      <w:r>
        <w:rPr>
          <w:rFonts w:ascii="Theinhardt Regular" w:hAnsi="Theinhardt Regular"/>
          <w:color w:val="231F20"/>
          <w:spacing w:val="-4"/>
          <w:sz w:val="14"/>
        </w:rPr>
        <w:t>41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1"/>
          <w:sz w:val="14"/>
        </w:rPr>
        <w:t>79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6"/>
          <w:sz w:val="14"/>
        </w:rPr>
        <w:t>414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5"/>
          <w:sz w:val="14"/>
        </w:rPr>
        <w:t>74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5"/>
          <w:sz w:val="14"/>
        </w:rPr>
        <w:t>41</w:t>
      </w:r>
      <w:hyperlink r:id="rId9">
        <w:r>
          <w:rPr>
            <w:rFonts w:ascii="Theinhardt Regular" w:hAnsi="Theinhardt Regular"/>
            <w:color w:val="231F20"/>
            <w:spacing w:val="25"/>
            <w:sz w:val="14"/>
          </w:rPr>
          <w:t xml:space="preserve"> </w:t>
        </w:r>
        <w:r>
          <w:rPr>
            <w:rFonts w:ascii="Theinhardt Regular" w:hAnsi="Theinhardt Regular"/>
            <w:color w:val="231F20"/>
            <w:spacing w:val="1"/>
            <w:sz w:val="14"/>
          </w:rPr>
          <w:t>senaud@bluewin.ch</w:t>
        </w:r>
      </w:hyperlink>
    </w:p>
    <w:p w14:paraId="4F469576" w14:textId="77777777" w:rsidR="009B6FE4" w:rsidRDefault="006522BF">
      <w:pPr>
        <w:spacing w:before="80" w:line="160" w:lineRule="exact"/>
        <w:ind w:left="108" w:right="718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2"/>
          <w:sz w:val="14"/>
        </w:rPr>
        <w:t>Nicolet</w:t>
      </w:r>
      <w:r>
        <w:rPr>
          <w:rFonts w:ascii="Theinhardt Regular" w:hAnsi="Theinhardt Regular"/>
          <w:color w:val="231F20"/>
          <w:sz w:val="14"/>
        </w:rPr>
        <w:t xml:space="preserve"> Toiture &amp; </w:t>
      </w:r>
      <w:r>
        <w:rPr>
          <w:rFonts w:ascii="Theinhardt Regular" w:hAnsi="Theinhardt Regular"/>
          <w:color w:val="231F20"/>
          <w:spacing w:val="1"/>
          <w:sz w:val="14"/>
        </w:rPr>
        <w:t>Fils,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2"/>
          <w:sz w:val="14"/>
        </w:rPr>
        <w:t>Jean-Claude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2"/>
          <w:sz w:val="14"/>
        </w:rPr>
        <w:t>Nicolet,</w:t>
      </w:r>
      <w:r>
        <w:rPr>
          <w:rFonts w:ascii="Theinhardt Regular" w:hAnsi="Theinhardt Regular"/>
          <w:color w:val="231F20"/>
          <w:spacing w:val="27"/>
          <w:sz w:val="14"/>
        </w:rPr>
        <w:t xml:space="preserve"> </w:t>
      </w:r>
      <w:r>
        <w:rPr>
          <w:rFonts w:ascii="Theinhardt Regular" w:hAnsi="Theinhardt Regular"/>
          <w:color w:val="231F20"/>
          <w:spacing w:val="-1"/>
          <w:sz w:val="14"/>
        </w:rPr>
        <w:t>2722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Les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Reussilles,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2"/>
          <w:sz w:val="14"/>
        </w:rPr>
        <w:t>Tél.</w:t>
      </w:r>
      <w:r>
        <w:rPr>
          <w:rFonts w:ascii="Theinhardt Regular" w:hAnsi="Theinhardt Regular"/>
          <w:color w:val="231F20"/>
          <w:spacing w:val="-1"/>
          <w:sz w:val="14"/>
        </w:rPr>
        <w:t xml:space="preserve"> </w:t>
      </w:r>
      <w:r>
        <w:rPr>
          <w:rFonts w:ascii="Theinhardt Regular" w:hAnsi="Theinhardt Regular"/>
          <w:color w:val="231F20"/>
          <w:spacing w:val="-4"/>
          <w:sz w:val="14"/>
        </w:rPr>
        <w:t>+41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1"/>
          <w:sz w:val="14"/>
        </w:rPr>
        <w:t>32</w:t>
      </w:r>
      <w:r>
        <w:rPr>
          <w:rFonts w:ascii="Theinhardt Regular" w:hAnsi="Theinhardt Regular"/>
          <w:color w:val="231F20"/>
          <w:sz w:val="14"/>
        </w:rPr>
        <w:t xml:space="preserve"> 487 </w:t>
      </w:r>
      <w:r>
        <w:rPr>
          <w:rFonts w:ascii="Theinhardt Regular" w:hAnsi="Theinhardt Regular"/>
          <w:color w:val="231F20"/>
          <w:spacing w:val="1"/>
          <w:sz w:val="14"/>
        </w:rPr>
        <w:t>45</w:t>
      </w:r>
      <w:r>
        <w:rPr>
          <w:rFonts w:ascii="Theinhardt Regular" w:hAnsi="Theinhardt Regular"/>
          <w:color w:val="231F20"/>
          <w:sz w:val="14"/>
        </w:rPr>
        <w:t xml:space="preserve"> 46</w:t>
      </w:r>
      <w:hyperlink r:id="rId10">
        <w:r>
          <w:rPr>
            <w:rFonts w:ascii="Theinhardt Regular" w:hAnsi="Theinhardt Regular"/>
            <w:color w:val="231F20"/>
            <w:spacing w:val="40"/>
            <w:sz w:val="14"/>
          </w:rPr>
          <w:t xml:space="preserve"> </w:t>
        </w:r>
        <w:r>
          <w:rPr>
            <w:rFonts w:ascii="Theinhardt Regular" w:hAnsi="Theinhardt Regular"/>
            <w:color w:val="231F20"/>
            <w:spacing w:val="1"/>
            <w:sz w:val="14"/>
          </w:rPr>
          <w:t>nicolet-toiture@bluewin.ch</w:t>
        </w:r>
      </w:hyperlink>
    </w:p>
    <w:p w14:paraId="61E0B970" w14:textId="77777777" w:rsidR="009B6FE4" w:rsidRDefault="006522BF">
      <w:pPr>
        <w:spacing w:before="80" w:line="160" w:lineRule="exact"/>
        <w:ind w:left="108" w:right="732"/>
        <w:rPr>
          <w:rFonts w:ascii="Theinhardt Regular" w:eastAsia="Theinhardt Regular" w:hAnsi="Theinhardt Regular" w:cs="Theinhardt Regular"/>
          <w:sz w:val="14"/>
          <w:szCs w:val="14"/>
        </w:rPr>
      </w:pPr>
      <w:r>
        <w:pict w14:anchorId="7AAA7D42">
          <v:group id="_x0000_s1027" style="position:absolute;left:0;text-align:left;margin-left:385.55pt;margin-top:33.65pt;width:167.25pt;height:.45pt;z-index:1096;mso-position-horizontal-relative:page" coordorigin="7711,673" coordsize="3345,9">
            <v:group id="_x0000_s1032" style="position:absolute;left:7733;top:677;width:3311;height:2" coordorigin="7733,677" coordsize="3311,2">
              <v:shape id="_x0000_s1033" style="position:absolute;left:7733;top:677;width:3311;height:2" coordorigin="7733,677" coordsize="3311,0" path="m7733,677r3311,e" filled="f" strokecolor="#231f20" strokeweight=".14994mm">
                <v:stroke dashstyle="dash"/>
                <v:path arrowok="t"/>
              </v:shape>
            </v:group>
            <v:group id="_x0000_s1030" style="position:absolute;left:7716;top:677;width:2;height:2" coordorigin="7716,677" coordsize="2,2">
              <v:shape id="_x0000_s1031" style="position:absolute;left:7716;top:677;width:2;height:2" coordorigin="7716,677" coordsize="0,0" path="m7716,677r,e" filled="f" strokecolor="#231f20" strokeweight=".14994mm">
                <v:path arrowok="t"/>
              </v:shape>
            </v:group>
            <v:group id="_x0000_s1028" style="position:absolute;left:11052;top:677;width:2;height:2" coordorigin="11052,677" coordsize="2,2">
              <v:shape id="_x0000_s1029" style="position:absolute;left:11052;top:677;width:2;height:2" coordorigin="11052,677" coordsize="0,0" path="m11052,677r,e" filled="f" strokecolor="#231f20" strokeweight=".14994mm">
                <v:path arrowok="t"/>
              </v:shape>
            </v:group>
            <w10:wrap anchorx="page"/>
          </v:group>
        </w:pict>
      </w:r>
      <w:r>
        <w:rPr>
          <w:rFonts w:ascii="Theinhardt Regular" w:hAnsi="Theinhardt Regular"/>
          <w:color w:val="231F20"/>
          <w:spacing w:val="1"/>
          <w:sz w:val="14"/>
        </w:rPr>
        <w:t>Charpente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Geiser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2"/>
          <w:sz w:val="14"/>
        </w:rPr>
        <w:t>SA,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Christian</w:t>
      </w:r>
      <w:r>
        <w:rPr>
          <w:rFonts w:ascii="Theinhardt Regular" w:hAnsi="Theinhardt Regular"/>
          <w:color w:val="231F20"/>
          <w:sz w:val="14"/>
        </w:rPr>
        <w:t xml:space="preserve"> Geiser,</w:t>
      </w:r>
      <w:r>
        <w:rPr>
          <w:rFonts w:ascii="Theinhardt Regular" w:hAnsi="Theinhardt Regular"/>
          <w:color w:val="231F20"/>
          <w:spacing w:val="46"/>
          <w:sz w:val="14"/>
        </w:rPr>
        <w:t xml:space="preserve"> </w:t>
      </w:r>
      <w:r>
        <w:rPr>
          <w:rFonts w:ascii="Theinhardt Regular" w:hAnsi="Theinhardt Regular"/>
          <w:color w:val="231F20"/>
          <w:spacing w:val="-1"/>
          <w:sz w:val="14"/>
        </w:rPr>
        <w:t>2722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Les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Reussilles,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2"/>
          <w:sz w:val="14"/>
        </w:rPr>
        <w:t>Tél.</w:t>
      </w:r>
      <w:r>
        <w:rPr>
          <w:rFonts w:ascii="Theinhardt Regular" w:hAnsi="Theinhardt Regular"/>
          <w:color w:val="231F20"/>
          <w:spacing w:val="-1"/>
          <w:sz w:val="14"/>
        </w:rPr>
        <w:t xml:space="preserve"> </w:t>
      </w:r>
      <w:r>
        <w:rPr>
          <w:rFonts w:ascii="Theinhardt Regular" w:hAnsi="Theinhardt Regular"/>
          <w:color w:val="231F20"/>
          <w:spacing w:val="-4"/>
          <w:sz w:val="14"/>
        </w:rPr>
        <w:t>+41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1"/>
          <w:sz w:val="14"/>
        </w:rPr>
        <w:t>79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4"/>
          <w:sz w:val="14"/>
        </w:rPr>
        <w:t>274</w:t>
      </w:r>
      <w:r>
        <w:rPr>
          <w:rFonts w:ascii="Theinhardt Regular" w:hAnsi="Theinhardt Regular"/>
          <w:color w:val="231F20"/>
          <w:sz w:val="14"/>
        </w:rPr>
        <w:t xml:space="preserve"> 39 </w:t>
      </w:r>
      <w:r>
        <w:rPr>
          <w:rFonts w:ascii="Theinhardt Regular" w:hAnsi="Theinhardt Regular"/>
          <w:color w:val="231F20"/>
          <w:spacing w:val="-1"/>
          <w:sz w:val="14"/>
        </w:rPr>
        <w:t>26</w:t>
      </w:r>
      <w:hyperlink r:id="rId11">
        <w:r>
          <w:rPr>
            <w:rFonts w:ascii="Theinhardt Regular" w:hAnsi="Theinhardt Regular"/>
            <w:color w:val="231F20"/>
            <w:spacing w:val="44"/>
            <w:sz w:val="14"/>
          </w:rPr>
          <w:t xml:space="preserve"> </w:t>
        </w:r>
        <w:r>
          <w:rPr>
            <w:rFonts w:ascii="Theinhardt Regular" w:hAnsi="Theinhardt Regular"/>
            <w:color w:val="231F20"/>
            <w:spacing w:val="2"/>
            <w:sz w:val="14"/>
          </w:rPr>
          <w:t>pascal@gcsa.ch</w:t>
        </w:r>
      </w:hyperlink>
    </w:p>
    <w:p w14:paraId="0536FB45" w14:textId="77777777" w:rsidR="009B6FE4" w:rsidRDefault="009B6FE4">
      <w:pPr>
        <w:spacing w:line="160" w:lineRule="exact"/>
        <w:rPr>
          <w:rFonts w:ascii="Theinhardt Regular" w:eastAsia="Theinhardt Regular" w:hAnsi="Theinhardt Regular" w:cs="Theinhardt Regular"/>
          <w:sz w:val="14"/>
          <w:szCs w:val="14"/>
        </w:rPr>
        <w:sectPr w:rsidR="009B6FE4">
          <w:type w:val="continuous"/>
          <w:pgSz w:w="11910" w:h="16840"/>
          <w:pgMar w:top="840" w:right="740" w:bottom="280" w:left="460" w:header="720" w:footer="720" w:gutter="0"/>
          <w:cols w:num="3" w:space="720" w:equalWidth="0">
            <w:col w:w="3464" w:space="107"/>
            <w:col w:w="3461" w:space="111"/>
            <w:col w:w="3567"/>
          </w:cols>
        </w:sectPr>
      </w:pPr>
    </w:p>
    <w:p w14:paraId="29524A07" w14:textId="77777777" w:rsidR="009B6FE4" w:rsidRDefault="009B6FE4">
      <w:pPr>
        <w:rPr>
          <w:rFonts w:ascii="Theinhardt Regular" w:eastAsia="Theinhardt Regular" w:hAnsi="Theinhardt Regular" w:cs="Theinhardt Regular"/>
          <w:sz w:val="20"/>
          <w:szCs w:val="20"/>
        </w:rPr>
      </w:pPr>
    </w:p>
    <w:p w14:paraId="54EEBEB7" w14:textId="77777777" w:rsidR="009B6FE4" w:rsidRDefault="009B6FE4">
      <w:pPr>
        <w:rPr>
          <w:rFonts w:ascii="Theinhardt Regular" w:eastAsia="Theinhardt Regular" w:hAnsi="Theinhardt Regular" w:cs="Theinhardt Regular"/>
          <w:sz w:val="20"/>
          <w:szCs w:val="20"/>
        </w:rPr>
      </w:pPr>
    </w:p>
    <w:p w14:paraId="661759F4" w14:textId="77777777" w:rsidR="009B6FE4" w:rsidRDefault="009B6FE4">
      <w:pPr>
        <w:rPr>
          <w:rFonts w:ascii="Theinhardt Regular" w:eastAsia="Theinhardt Regular" w:hAnsi="Theinhardt Regular" w:cs="Theinhardt Regular"/>
          <w:sz w:val="20"/>
          <w:szCs w:val="20"/>
        </w:rPr>
      </w:pPr>
    </w:p>
    <w:p w14:paraId="28E2DFED" w14:textId="77777777" w:rsidR="009B6FE4" w:rsidRDefault="009B6FE4">
      <w:pPr>
        <w:rPr>
          <w:rFonts w:ascii="Theinhardt Regular" w:eastAsia="Theinhardt Regular" w:hAnsi="Theinhardt Regular" w:cs="Theinhardt Regular"/>
          <w:sz w:val="20"/>
          <w:szCs w:val="20"/>
        </w:rPr>
      </w:pPr>
    </w:p>
    <w:p w14:paraId="22B54B5C" w14:textId="77777777" w:rsidR="009B6FE4" w:rsidRDefault="009B6FE4">
      <w:pPr>
        <w:spacing w:before="9"/>
        <w:rPr>
          <w:rFonts w:ascii="Theinhardt Regular" w:eastAsia="Theinhardt Regular" w:hAnsi="Theinhardt Regular" w:cs="Theinhardt Regular"/>
          <w:sz w:val="27"/>
          <w:szCs w:val="27"/>
        </w:rPr>
      </w:pPr>
    </w:p>
    <w:p w14:paraId="2018CE1C" w14:textId="77777777" w:rsidR="009B6FE4" w:rsidRDefault="006522BF">
      <w:pPr>
        <w:spacing w:before="70"/>
        <w:ind w:left="106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Heavy"/>
          <w:b/>
          <w:color w:val="231F20"/>
          <w:sz w:val="14"/>
        </w:rPr>
        <w:t xml:space="preserve">26    </w:t>
      </w:r>
      <w:r>
        <w:rPr>
          <w:rFonts w:ascii="Theinhardt Heavy"/>
          <w:b/>
          <w:color w:val="231F20"/>
          <w:spacing w:val="7"/>
          <w:sz w:val="14"/>
        </w:rPr>
        <w:t xml:space="preserve"> </w:t>
      </w:r>
      <w:r>
        <w:rPr>
          <w:rFonts w:ascii="Theinhardt Regular"/>
          <w:color w:val="231F20"/>
          <w:sz w:val="14"/>
        </w:rPr>
        <w:t xml:space="preserve">| 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 xml:space="preserve"> 2021 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Regular"/>
          <w:color w:val="231F20"/>
          <w:sz w:val="14"/>
        </w:rPr>
        <w:t xml:space="preserve">| 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 xml:space="preserve"> 2021</w:t>
      </w:r>
    </w:p>
    <w:p w14:paraId="72A7B8CC" w14:textId="77777777" w:rsidR="009B6FE4" w:rsidRDefault="009B6FE4">
      <w:pPr>
        <w:rPr>
          <w:rFonts w:ascii="Theinhardt Regular" w:eastAsia="Theinhardt Regular" w:hAnsi="Theinhardt Regular" w:cs="Theinhardt Regular"/>
          <w:sz w:val="14"/>
          <w:szCs w:val="14"/>
        </w:rPr>
        <w:sectPr w:rsidR="009B6FE4">
          <w:type w:val="continuous"/>
          <w:pgSz w:w="11910" w:h="16840"/>
          <w:pgMar w:top="840" w:right="740" w:bottom="280" w:left="460" w:header="720" w:footer="720" w:gutter="0"/>
          <w:cols w:space="720"/>
        </w:sectPr>
      </w:pPr>
    </w:p>
    <w:p w14:paraId="276965E5" w14:textId="77777777" w:rsidR="009B6FE4" w:rsidRDefault="009B6FE4">
      <w:pPr>
        <w:spacing w:before="6"/>
        <w:rPr>
          <w:rFonts w:ascii="Theinhardt Regular" w:eastAsia="Theinhardt Regular" w:hAnsi="Theinhardt Regular" w:cs="Theinhardt Regular"/>
          <w:sz w:val="5"/>
          <w:szCs w:val="5"/>
        </w:rPr>
      </w:pPr>
    </w:p>
    <w:p w14:paraId="1176B85E" w14:textId="77777777" w:rsidR="009B6FE4" w:rsidRDefault="006522BF">
      <w:pPr>
        <w:spacing w:line="200" w:lineRule="atLeast"/>
        <w:ind w:left="110"/>
        <w:rPr>
          <w:rFonts w:ascii="Theinhardt Regular" w:eastAsia="Theinhardt Regular" w:hAnsi="Theinhardt Regular" w:cs="Theinhardt Regular"/>
          <w:sz w:val="20"/>
          <w:szCs w:val="20"/>
        </w:rPr>
      </w:pPr>
      <w:r>
        <w:rPr>
          <w:rFonts w:ascii="Theinhardt Regular" w:eastAsia="Theinhardt Regular" w:hAnsi="Theinhardt Regular" w:cs="Theinhardt Regular"/>
          <w:noProof/>
          <w:sz w:val="20"/>
          <w:szCs w:val="20"/>
        </w:rPr>
        <w:drawing>
          <wp:inline distT="0" distB="0" distL="0" distR="0" wp14:anchorId="79943533" wp14:editId="45C9D8D8">
            <wp:extent cx="6536992" cy="4611243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6992" cy="4611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BAE24" w14:textId="77777777" w:rsidR="009B6FE4" w:rsidRDefault="009B6FE4">
      <w:pPr>
        <w:spacing w:before="6"/>
        <w:rPr>
          <w:rFonts w:ascii="Theinhardt Regular" w:eastAsia="Theinhardt Regular" w:hAnsi="Theinhardt Regular" w:cs="Theinhardt Regular"/>
          <w:sz w:val="6"/>
          <w:szCs w:val="6"/>
        </w:rPr>
      </w:pPr>
    </w:p>
    <w:p w14:paraId="13A45334" w14:textId="77777777" w:rsidR="009B6FE4" w:rsidRDefault="006522BF">
      <w:pPr>
        <w:spacing w:before="68"/>
        <w:ind w:left="108"/>
        <w:rPr>
          <w:rFonts w:ascii="Theinhardt Bold" w:eastAsia="Theinhardt Bold" w:hAnsi="Theinhardt Bold" w:cs="Theinhardt Bold"/>
          <w:sz w:val="14"/>
          <w:szCs w:val="14"/>
        </w:rPr>
      </w:pPr>
      <w:r>
        <w:pict w14:anchorId="6B909EEC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2.5pt;margin-top:13.9pt;width:524.45pt;height:275.7pt;z-index:-4984;mso-position-horizontal-relative:page" filled="f" stroked="f">
            <v:textbox inset="0,0,0,0">
              <w:txbxContent>
                <w:p w14:paraId="01B875D9" w14:textId="77777777" w:rsidR="009B6FE4" w:rsidRDefault="009B6FE4">
                  <w:pPr>
                    <w:rPr>
                      <w:rFonts w:ascii="Theinhardt Heavy" w:eastAsia="Theinhardt Heavy" w:hAnsi="Theinhardt Heavy" w:cs="Theinhardt Heavy"/>
                      <w:b/>
                      <w:bCs/>
                      <w:sz w:val="14"/>
                      <w:szCs w:val="14"/>
                    </w:rPr>
                  </w:pPr>
                </w:p>
                <w:p w14:paraId="1C8DAE5F" w14:textId="77777777" w:rsidR="009B6FE4" w:rsidRDefault="009B6FE4">
                  <w:pPr>
                    <w:rPr>
                      <w:rFonts w:ascii="Theinhardt Heavy" w:eastAsia="Theinhardt Heavy" w:hAnsi="Theinhardt Heavy" w:cs="Theinhardt Heavy"/>
                      <w:b/>
                      <w:bCs/>
                      <w:sz w:val="14"/>
                      <w:szCs w:val="14"/>
                    </w:rPr>
                  </w:pPr>
                </w:p>
                <w:p w14:paraId="02673042" w14:textId="77777777" w:rsidR="009B6FE4" w:rsidRDefault="009B6FE4">
                  <w:pPr>
                    <w:rPr>
                      <w:rFonts w:ascii="Theinhardt Heavy" w:eastAsia="Theinhardt Heavy" w:hAnsi="Theinhardt Heavy" w:cs="Theinhardt Heavy"/>
                      <w:b/>
                      <w:bCs/>
                      <w:sz w:val="14"/>
                      <w:szCs w:val="14"/>
                    </w:rPr>
                  </w:pPr>
                </w:p>
                <w:p w14:paraId="4BB311DE" w14:textId="77777777" w:rsidR="009B6FE4" w:rsidRDefault="009B6FE4">
                  <w:pPr>
                    <w:rPr>
                      <w:rFonts w:ascii="Theinhardt Heavy" w:eastAsia="Theinhardt Heavy" w:hAnsi="Theinhardt Heavy" w:cs="Theinhardt Heavy"/>
                      <w:b/>
                      <w:bCs/>
                      <w:sz w:val="14"/>
                      <w:szCs w:val="14"/>
                    </w:rPr>
                  </w:pPr>
                </w:p>
                <w:p w14:paraId="2FC14CD7" w14:textId="77777777" w:rsidR="009B6FE4" w:rsidRDefault="009B6FE4">
                  <w:pPr>
                    <w:rPr>
                      <w:rFonts w:ascii="Theinhardt Heavy" w:eastAsia="Theinhardt Heavy" w:hAnsi="Theinhardt Heavy" w:cs="Theinhardt Heavy"/>
                      <w:b/>
                      <w:bCs/>
                      <w:sz w:val="14"/>
                      <w:szCs w:val="14"/>
                    </w:rPr>
                  </w:pPr>
                </w:p>
                <w:p w14:paraId="25ADA0C2" w14:textId="77777777" w:rsidR="009B6FE4" w:rsidRDefault="009B6FE4">
                  <w:pPr>
                    <w:rPr>
                      <w:rFonts w:ascii="Theinhardt Heavy" w:eastAsia="Theinhardt Heavy" w:hAnsi="Theinhardt Heavy" w:cs="Theinhardt Heavy"/>
                      <w:b/>
                      <w:bCs/>
                      <w:sz w:val="14"/>
                      <w:szCs w:val="14"/>
                    </w:rPr>
                  </w:pPr>
                </w:p>
                <w:p w14:paraId="10FD055A" w14:textId="77777777" w:rsidR="009B6FE4" w:rsidRDefault="009B6FE4">
                  <w:pPr>
                    <w:rPr>
                      <w:rFonts w:ascii="Theinhardt Heavy" w:eastAsia="Theinhardt Heavy" w:hAnsi="Theinhardt Heavy" w:cs="Theinhardt Heavy"/>
                      <w:b/>
                      <w:bCs/>
                      <w:sz w:val="14"/>
                      <w:szCs w:val="14"/>
                    </w:rPr>
                  </w:pPr>
                </w:p>
                <w:p w14:paraId="55C2FD20" w14:textId="77777777" w:rsidR="009B6FE4" w:rsidRDefault="009B6FE4">
                  <w:pPr>
                    <w:rPr>
                      <w:rFonts w:ascii="Theinhardt Heavy" w:eastAsia="Theinhardt Heavy" w:hAnsi="Theinhardt Heavy" w:cs="Theinhardt Heavy"/>
                      <w:b/>
                      <w:bCs/>
                      <w:sz w:val="14"/>
                      <w:szCs w:val="14"/>
                    </w:rPr>
                  </w:pPr>
                </w:p>
                <w:p w14:paraId="34758DA4" w14:textId="77777777" w:rsidR="009B6FE4" w:rsidRDefault="009B6FE4">
                  <w:pPr>
                    <w:rPr>
                      <w:rFonts w:ascii="Theinhardt Heavy" w:eastAsia="Theinhardt Heavy" w:hAnsi="Theinhardt Heavy" w:cs="Theinhardt Heavy"/>
                      <w:b/>
                      <w:bCs/>
                      <w:sz w:val="14"/>
                      <w:szCs w:val="14"/>
                    </w:rPr>
                  </w:pPr>
                </w:p>
                <w:p w14:paraId="1CC79E54" w14:textId="77777777" w:rsidR="009B6FE4" w:rsidRDefault="009B6FE4">
                  <w:pPr>
                    <w:rPr>
                      <w:rFonts w:ascii="Theinhardt Heavy" w:eastAsia="Theinhardt Heavy" w:hAnsi="Theinhardt Heavy" w:cs="Theinhardt Heavy"/>
                      <w:b/>
                      <w:bCs/>
                      <w:sz w:val="14"/>
                      <w:szCs w:val="14"/>
                    </w:rPr>
                  </w:pPr>
                </w:p>
                <w:p w14:paraId="3111B683" w14:textId="77777777" w:rsidR="009B6FE4" w:rsidRDefault="009B6FE4">
                  <w:pPr>
                    <w:rPr>
                      <w:rFonts w:ascii="Theinhardt Heavy" w:eastAsia="Theinhardt Heavy" w:hAnsi="Theinhardt Heavy" w:cs="Theinhardt Heavy"/>
                      <w:b/>
                      <w:bCs/>
                      <w:sz w:val="14"/>
                      <w:szCs w:val="14"/>
                    </w:rPr>
                  </w:pPr>
                </w:p>
                <w:p w14:paraId="0F9389B2" w14:textId="77777777" w:rsidR="009B6FE4" w:rsidRDefault="009B6FE4">
                  <w:pPr>
                    <w:rPr>
                      <w:rFonts w:ascii="Theinhardt Heavy" w:eastAsia="Theinhardt Heavy" w:hAnsi="Theinhardt Heavy" w:cs="Theinhardt Heavy"/>
                      <w:b/>
                      <w:bCs/>
                      <w:sz w:val="14"/>
                      <w:szCs w:val="14"/>
                    </w:rPr>
                  </w:pPr>
                </w:p>
                <w:p w14:paraId="2A163DCB" w14:textId="77777777" w:rsidR="009B6FE4" w:rsidRDefault="009B6FE4">
                  <w:pPr>
                    <w:rPr>
                      <w:rFonts w:ascii="Theinhardt Heavy" w:eastAsia="Theinhardt Heavy" w:hAnsi="Theinhardt Heavy" w:cs="Theinhardt Heavy"/>
                      <w:b/>
                      <w:bCs/>
                      <w:sz w:val="14"/>
                      <w:szCs w:val="14"/>
                    </w:rPr>
                  </w:pPr>
                </w:p>
                <w:p w14:paraId="324D5D34" w14:textId="77777777" w:rsidR="009B6FE4" w:rsidRDefault="009B6FE4">
                  <w:pPr>
                    <w:rPr>
                      <w:rFonts w:ascii="Theinhardt Heavy" w:eastAsia="Theinhardt Heavy" w:hAnsi="Theinhardt Heavy" w:cs="Theinhardt Heavy"/>
                      <w:b/>
                      <w:bCs/>
                      <w:sz w:val="14"/>
                      <w:szCs w:val="14"/>
                    </w:rPr>
                  </w:pPr>
                </w:p>
                <w:p w14:paraId="5CFD602B" w14:textId="77777777" w:rsidR="009B6FE4" w:rsidRDefault="009B6FE4">
                  <w:pPr>
                    <w:rPr>
                      <w:rFonts w:ascii="Theinhardt Heavy" w:eastAsia="Theinhardt Heavy" w:hAnsi="Theinhardt Heavy" w:cs="Theinhardt Heavy"/>
                      <w:b/>
                      <w:bCs/>
                      <w:sz w:val="14"/>
                      <w:szCs w:val="14"/>
                    </w:rPr>
                  </w:pPr>
                </w:p>
                <w:p w14:paraId="7F5F2803" w14:textId="77777777" w:rsidR="009B6FE4" w:rsidRDefault="009B6FE4">
                  <w:pPr>
                    <w:rPr>
                      <w:rFonts w:ascii="Theinhardt Heavy" w:eastAsia="Theinhardt Heavy" w:hAnsi="Theinhardt Heavy" w:cs="Theinhardt Heavy"/>
                      <w:b/>
                      <w:bCs/>
                      <w:sz w:val="14"/>
                      <w:szCs w:val="14"/>
                    </w:rPr>
                  </w:pPr>
                </w:p>
                <w:p w14:paraId="008EE57E" w14:textId="77777777" w:rsidR="009B6FE4" w:rsidRDefault="009B6FE4">
                  <w:pPr>
                    <w:rPr>
                      <w:rFonts w:ascii="Theinhardt Heavy" w:eastAsia="Theinhardt Heavy" w:hAnsi="Theinhardt Heavy" w:cs="Theinhardt Heavy"/>
                      <w:b/>
                      <w:bCs/>
                      <w:sz w:val="14"/>
                      <w:szCs w:val="14"/>
                    </w:rPr>
                  </w:pPr>
                </w:p>
                <w:p w14:paraId="0506C38E" w14:textId="77777777" w:rsidR="009B6FE4" w:rsidRDefault="009B6FE4">
                  <w:pPr>
                    <w:rPr>
                      <w:rFonts w:ascii="Theinhardt Heavy" w:eastAsia="Theinhardt Heavy" w:hAnsi="Theinhardt Heavy" w:cs="Theinhardt Heavy"/>
                      <w:b/>
                      <w:bCs/>
                      <w:sz w:val="14"/>
                      <w:szCs w:val="14"/>
                    </w:rPr>
                  </w:pPr>
                </w:p>
                <w:p w14:paraId="6F88DB93" w14:textId="77777777" w:rsidR="009B6FE4" w:rsidRDefault="009B6FE4">
                  <w:pPr>
                    <w:rPr>
                      <w:rFonts w:ascii="Theinhardt Heavy" w:eastAsia="Theinhardt Heavy" w:hAnsi="Theinhardt Heavy" w:cs="Theinhardt Heavy"/>
                      <w:b/>
                      <w:bCs/>
                      <w:sz w:val="14"/>
                      <w:szCs w:val="14"/>
                    </w:rPr>
                  </w:pPr>
                </w:p>
                <w:p w14:paraId="705C9C8E" w14:textId="77777777" w:rsidR="009B6FE4" w:rsidRDefault="009B6FE4">
                  <w:pPr>
                    <w:rPr>
                      <w:rFonts w:ascii="Theinhardt Heavy" w:eastAsia="Theinhardt Heavy" w:hAnsi="Theinhardt Heavy" w:cs="Theinhardt Heavy"/>
                      <w:b/>
                      <w:bCs/>
                      <w:sz w:val="14"/>
                      <w:szCs w:val="14"/>
                    </w:rPr>
                  </w:pPr>
                </w:p>
                <w:p w14:paraId="2BEEE1CF" w14:textId="77777777" w:rsidR="009B6FE4" w:rsidRDefault="009B6FE4">
                  <w:pPr>
                    <w:rPr>
                      <w:rFonts w:ascii="Theinhardt Heavy" w:eastAsia="Theinhardt Heavy" w:hAnsi="Theinhardt Heavy" w:cs="Theinhardt Heavy"/>
                      <w:b/>
                      <w:bCs/>
                      <w:sz w:val="14"/>
                      <w:szCs w:val="14"/>
                    </w:rPr>
                  </w:pPr>
                </w:p>
                <w:p w14:paraId="06597D2C" w14:textId="77777777" w:rsidR="009B6FE4" w:rsidRDefault="009B6FE4">
                  <w:pPr>
                    <w:rPr>
                      <w:rFonts w:ascii="Theinhardt Heavy" w:eastAsia="Theinhardt Heavy" w:hAnsi="Theinhardt Heavy" w:cs="Theinhardt Heavy"/>
                      <w:b/>
                      <w:bCs/>
                      <w:sz w:val="14"/>
                      <w:szCs w:val="14"/>
                    </w:rPr>
                  </w:pPr>
                </w:p>
                <w:p w14:paraId="3223B297" w14:textId="77777777" w:rsidR="009B6FE4" w:rsidRDefault="009B6FE4">
                  <w:pPr>
                    <w:rPr>
                      <w:rFonts w:ascii="Theinhardt Heavy" w:eastAsia="Theinhardt Heavy" w:hAnsi="Theinhardt Heavy" w:cs="Theinhardt Heavy"/>
                      <w:b/>
                      <w:bCs/>
                      <w:sz w:val="14"/>
                      <w:szCs w:val="14"/>
                    </w:rPr>
                  </w:pPr>
                </w:p>
                <w:p w14:paraId="1E8707C6" w14:textId="77777777" w:rsidR="009B6FE4" w:rsidRDefault="009B6FE4">
                  <w:pPr>
                    <w:spacing w:before="12"/>
                    <w:rPr>
                      <w:rFonts w:ascii="Theinhardt Heavy" w:eastAsia="Theinhardt Heavy" w:hAnsi="Theinhardt Heavy" w:cs="Theinhardt Heavy"/>
                      <w:b/>
                      <w:bCs/>
                      <w:sz w:val="16"/>
                      <w:szCs w:val="16"/>
                    </w:rPr>
                  </w:pPr>
                </w:p>
                <w:p w14:paraId="3D420442" w14:textId="77777777" w:rsidR="009B6FE4" w:rsidRDefault="006522BF">
                  <w:pPr>
                    <w:ind w:right="2649"/>
                    <w:jc w:val="right"/>
                    <w:rPr>
                      <w:rFonts w:ascii="Theinhardt Bold" w:eastAsia="Theinhardt Bold" w:hAnsi="Theinhardt Bold" w:cs="Theinhardt Bold"/>
                      <w:sz w:val="14"/>
                      <w:szCs w:val="14"/>
                    </w:rPr>
                  </w:pPr>
                  <w:r>
                    <w:rPr>
                      <w:rFonts w:ascii="Theinhardt Bold"/>
                      <w:b/>
                      <w:color w:val="231F20"/>
                      <w:w w:val="95"/>
                      <w:sz w:val="14"/>
                    </w:rPr>
                    <w:t>3</w:t>
                  </w:r>
                </w:p>
                <w:p w14:paraId="28AA1CD6" w14:textId="77777777" w:rsidR="009B6FE4" w:rsidRDefault="006522BF">
                  <w:pPr>
                    <w:spacing w:before="115"/>
                    <w:rPr>
                      <w:rFonts w:ascii="Theinhardt Bold" w:eastAsia="Theinhardt Bold" w:hAnsi="Theinhardt Bold" w:cs="Theinhardt Bold"/>
                      <w:sz w:val="14"/>
                      <w:szCs w:val="14"/>
                    </w:rPr>
                  </w:pPr>
                  <w:r>
                    <w:rPr>
                      <w:rFonts w:ascii="Theinhardt Bold"/>
                      <w:b/>
                      <w:color w:val="231F20"/>
                      <w:sz w:val="14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rFonts w:ascii="Theinhardt Bold"/>
          <w:b/>
          <w:color w:val="231F20"/>
          <w:sz w:val="14"/>
        </w:rPr>
        <w:t>1</w:t>
      </w:r>
    </w:p>
    <w:p w14:paraId="2218A73E" w14:textId="77777777" w:rsidR="009B6FE4" w:rsidRDefault="009B6FE4">
      <w:pPr>
        <w:rPr>
          <w:rFonts w:ascii="Theinhardt Bold" w:eastAsia="Theinhardt Bold" w:hAnsi="Theinhardt Bold" w:cs="Theinhardt Bold"/>
          <w:b/>
          <w:bCs/>
          <w:sz w:val="2"/>
          <w:szCs w:val="2"/>
        </w:rPr>
      </w:pPr>
    </w:p>
    <w:p w14:paraId="26D4B597" w14:textId="77777777" w:rsidR="009B6FE4" w:rsidRDefault="006522BF">
      <w:pPr>
        <w:spacing w:line="200" w:lineRule="atLeast"/>
        <w:ind w:left="110"/>
        <w:rPr>
          <w:rFonts w:ascii="Theinhardt Bold" w:eastAsia="Theinhardt Bold" w:hAnsi="Theinhardt Bold" w:cs="Theinhardt Bold"/>
          <w:sz w:val="20"/>
          <w:szCs w:val="20"/>
        </w:rPr>
      </w:pPr>
      <w:r>
        <w:rPr>
          <w:rFonts w:ascii="Theinhardt Bold" w:eastAsia="Theinhardt Bold" w:hAnsi="Theinhardt Bold" w:cs="Theinhardt Bold"/>
          <w:noProof/>
          <w:sz w:val="20"/>
          <w:szCs w:val="20"/>
        </w:rPr>
        <w:drawing>
          <wp:inline distT="0" distB="0" distL="0" distR="0" wp14:anchorId="262DB660" wp14:editId="42BA576B">
            <wp:extent cx="6609464" cy="3474434"/>
            <wp:effectExtent l="0" t="0" r="0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9464" cy="3474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720F2" w14:textId="77777777" w:rsidR="009B6FE4" w:rsidRDefault="006522BF">
      <w:pPr>
        <w:spacing w:before="57"/>
        <w:ind w:left="108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2</w:t>
      </w:r>
    </w:p>
    <w:p w14:paraId="48C7BB81" w14:textId="77777777" w:rsidR="009B6FE4" w:rsidRDefault="009B6FE4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31712AAB" w14:textId="77777777" w:rsidR="009B6FE4" w:rsidRDefault="009B6FE4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5D7E9DB0" w14:textId="77777777" w:rsidR="009B6FE4" w:rsidRDefault="009B6FE4">
      <w:pPr>
        <w:spacing w:before="2"/>
        <w:rPr>
          <w:rFonts w:ascii="Theinhardt Bold" w:eastAsia="Theinhardt Bold" w:hAnsi="Theinhardt Bold" w:cs="Theinhardt Bold"/>
          <w:b/>
          <w:bCs/>
          <w:sz w:val="19"/>
          <w:szCs w:val="19"/>
        </w:rPr>
      </w:pPr>
    </w:p>
    <w:p w14:paraId="5D745249" w14:textId="77777777" w:rsidR="009B6FE4" w:rsidRDefault="009B6FE4">
      <w:pPr>
        <w:rPr>
          <w:rFonts w:ascii="Theinhardt Bold" w:eastAsia="Theinhardt Bold" w:hAnsi="Theinhardt Bold" w:cs="Theinhardt Bold"/>
          <w:sz w:val="19"/>
          <w:szCs w:val="19"/>
        </w:rPr>
        <w:sectPr w:rsidR="009B6FE4">
          <w:pgSz w:w="11910" w:h="16840"/>
          <w:pgMar w:top="860" w:right="460" w:bottom="280" w:left="740" w:header="720" w:footer="720" w:gutter="0"/>
          <w:cols w:space="720"/>
        </w:sectPr>
      </w:pPr>
    </w:p>
    <w:p w14:paraId="5285A332" w14:textId="77777777" w:rsidR="009B6FE4" w:rsidRDefault="006522BF">
      <w:pPr>
        <w:spacing w:before="79" w:line="160" w:lineRule="exact"/>
        <w:ind w:left="337" w:hanging="227"/>
        <w:jc w:val="both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1</w:t>
      </w:r>
      <w:r>
        <w:rPr>
          <w:rFonts w:ascii="Theinhardt Bold" w:eastAsia="Theinhardt Bold" w:hAnsi="Theinhardt Bold" w:cs="Theinhardt Bold"/>
          <w:b/>
          <w:bCs/>
          <w:color w:val="231F20"/>
          <w:spacing w:val="4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Bien</w:t>
      </w:r>
      <w:r>
        <w:rPr>
          <w:rFonts w:ascii="Theinhardt Bold" w:eastAsia="Theinhardt Bold" w:hAnsi="Theinhardt Bold" w:cs="Theinhardt Bold"/>
          <w:b/>
          <w:bCs/>
          <w:color w:val="231F20"/>
          <w:spacing w:val="4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intégrée</w:t>
      </w:r>
      <w:r>
        <w:rPr>
          <w:rFonts w:ascii="Theinhardt Bold" w:eastAsia="Theinhardt Bold" w:hAnsi="Theinhardt Bold" w:cs="Theinhardt Bold"/>
          <w:b/>
          <w:bCs/>
          <w:color w:val="231F20"/>
          <w:spacing w:val="4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au</w:t>
      </w:r>
      <w:r>
        <w:rPr>
          <w:rFonts w:ascii="Theinhardt Bold" w:eastAsia="Theinhardt Bold" w:hAnsi="Theinhardt Bold" w:cs="Theinhardt Bold"/>
          <w:b/>
          <w:bCs/>
          <w:color w:val="231F20"/>
          <w:spacing w:val="4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toit</w:t>
      </w:r>
      <w:r>
        <w:rPr>
          <w:rFonts w:ascii="Theinhardt Bold" w:eastAsia="Theinhardt Bold" w:hAnsi="Theinhardt Bold" w:cs="Theinhardt Bold"/>
          <w:b/>
          <w:bCs/>
          <w:color w:val="231F20"/>
          <w:spacing w:val="4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incurvé,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l’installation</w:t>
      </w:r>
      <w:r>
        <w:rPr>
          <w:rFonts w:ascii="Theinhardt Bold" w:eastAsia="Theinhardt Bold" w:hAnsi="Theinhardt Bold" w:cs="Theinhardt Bold"/>
          <w:b/>
          <w:bCs/>
          <w:color w:val="231F20"/>
          <w:spacing w:val="4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>PV</w:t>
      </w:r>
      <w:r>
        <w:rPr>
          <w:rFonts w:ascii="Theinhardt Bold" w:eastAsia="Theinhardt Bold" w:hAnsi="Theinhardt Bold" w:cs="Theinhardt Bold"/>
          <w:b/>
          <w:bCs/>
          <w:color w:val="231F20"/>
          <w:spacing w:val="4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de</w:t>
      </w:r>
      <w:r>
        <w:rPr>
          <w:rFonts w:ascii="Theinhardt Bold" w:eastAsia="Theinhardt Bold" w:hAnsi="Theinhardt Bold" w:cs="Theinhardt Bold"/>
          <w:b/>
          <w:bCs/>
          <w:color w:val="231F20"/>
          <w:spacing w:val="30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411</w:t>
      </w:r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kWc</w:t>
      </w:r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génère</w:t>
      </w:r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435’000</w:t>
      </w:r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4"/>
          <w:szCs w:val="14"/>
        </w:rPr>
        <w:t>kWh/a</w:t>
      </w:r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de</w:t>
      </w:r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courant</w:t>
      </w:r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zéro</w:t>
      </w:r>
      <w:r>
        <w:rPr>
          <w:rFonts w:ascii="Theinhardt Bold" w:eastAsia="Theinhardt Bold" w:hAnsi="Theinhardt Bold" w:cs="Theinhardt Bold"/>
          <w:b/>
          <w:bCs/>
          <w:color w:val="231F20"/>
          <w:spacing w:val="23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émission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avec une production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remarquable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de</w:t>
      </w:r>
    </w:p>
    <w:p w14:paraId="6BD2857C" w14:textId="77777777" w:rsidR="009B6FE4" w:rsidRDefault="006522BF">
      <w:pPr>
        <w:spacing w:before="79" w:line="160" w:lineRule="exact"/>
        <w:ind w:left="110" w:hanging="1"/>
        <w:jc w:val="both"/>
        <w:rPr>
          <w:rFonts w:ascii="Theinhardt Bold" w:eastAsia="Theinhardt Bold" w:hAnsi="Theinhardt Bold" w:cs="Theinhardt Bold"/>
          <w:sz w:val="14"/>
          <w:szCs w:val="14"/>
        </w:rPr>
      </w:pPr>
      <w:r>
        <w:br w:type="column"/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176</w:t>
      </w:r>
      <w:r>
        <w:rPr>
          <w:rFonts w:ascii="Theinhardt Bold" w:eastAsia="Theinhardt Bold" w:hAnsi="Theinhardt Bold" w:cs="Theinhardt Bold"/>
          <w:b/>
          <w:bCs/>
          <w:color w:val="231F20"/>
          <w:spacing w:val="-8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kWh/m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position w:val="5"/>
          <w:sz w:val="8"/>
          <w:szCs w:val="8"/>
        </w:rPr>
        <w:t>2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a.</w:t>
      </w:r>
      <w:r>
        <w:rPr>
          <w:rFonts w:ascii="Theinhardt Bold" w:eastAsia="Theinhardt Bold" w:hAnsi="Theinhardt Bold" w:cs="Theinhardt Bold"/>
          <w:b/>
          <w:bCs/>
          <w:color w:val="231F20"/>
          <w:spacing w:val="-13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Elle</w:t>
      </w:r>
      <w:r>
        <w:rPr>
          <w:rFonts w:ascii="Theinhardt Bold" w:eastAsia="Theinhardt Bold" w:hAnsi="Theinhardt Bold" w:cs="Theinhardt Bold"/>
          <w:b/>
          <w:bCs/>
          <w:color w:val="231F20"/>
          <w:spacing w:val="-8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sert</w:t>
      </w:r>
      <w:r>
        <w:rPr>
          <w:rFonts w:ascii="Theinhardt Bold" w:eastAsia="Theinhardt Bold" w:hAnsi="Theinhardt Bold" w:cs="Theinhardt Bold"/>
          <w:b/>
          <w:bCs/>
          <w:color w:val="231F20"/>
          <w:spacing w:val="-8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à</w:t>
      </w:r>
      <w:r>
        <w:rPr>
          <w:rFonts w:ascii="Theinhardt Bold" w:eastAsia="Theinhardt Bold" w:hAnsi="Theinhardt Bold" w:cs="Theinhardt Bold"/>
          <w:b/>
          <w:bCs/>
          <w:color w:val="231F20"/>
          <w:spacing w:val="-8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alimenter</w:t>
      </w:r>
      <w:r>
        <w:rPr>
          <w:rFonts w:ascii="Theinhardt Bold" w:eastAsia="Theinhardt Bold" w:hAnsi="Theinhardt Bold" w:cs="Theinhardt Bold"/>
          <w:b/>
          <w:bCs/>
          <w:color w:val="231F20"/>
          <w:spacing w:val="-8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la</w:t>
      </w:r>
      <w:r>
        <w:rPr>
          <w:rFonts w:ascii="Theinhardt Bold" w:eastAsia="Theinhardt Bold" w:hAnsi="Theinhardt Bold" w:cs="Theinhardt Bold"/>
          <w:b/>
          <w:bCs/>
          <w:color w:val="231F20"/>
          <w:spacing w:val="-8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patinoire,</w:t>
      </w:r>
      <w:r>
        <w:rPr>
          <w:rFonts w:ascii="Theinhardt Bold" w:eastAsia="Theinhardt Bold" w:hAnsi="Theinhardt Bold" w:cs="Theinhardt Bold"/>
          <w:b/>
          <w:bCs/>
          <w:color w:val="231F20"/>
          <w:spacing w:val="-13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le</w:t>
      </w:r>
      <w:r>
        <w:rPr>
          <w:rFonts w:ascii="Theinhardt Bold" w:eastAsia="Theinhardt Bold" w:hAnsi="Theinhardt Bold" w:cs="Theinhardt Bold"/>
          <w:b/>
          <w:bCs/>
          <w:color w:val="231F20"/>
          <w:spacing w:val="30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restaurant,</w:t>
      </w:r>
      <w:r>
        <w:rPr>
          <w:rFonts w:ascii="Theinhardt Bold" w:eastAsia="Theinhardt Bold" w:hAnsi="Theinhardt Bold" w:cs="Theinhardt Bold"/>
          <w:b/>
          <w:bCs/>
          <w:color w:val="231F20"/>
          <w:spacing w:val="15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les</w:t>
      </w:r>
      <w:r>
        <w:rPr>
          <w:rFonts w:ascii="Theinhardt Bold" w:eastAsia="Theinhardt Bold" w:hAnsi="Theinhardt Bold" w:cs="Theinhardt Bold"/>
          <w:b/>
          <w:bCs/>
          <w:color w:val="231F20"/>
          <w:spacing w:val="20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vestiaires</w:t>
      </w:r>
      <w:r>
        <w:rPr>
          <w:rFonts w:ascii="Theinhardt Bold" w:eastAsia="Theinhardt Bold" w:hAnsi="Theinhardt Bold" w:cs="Theinhardt Bold"/>
          <w:b/>
          <w:bCs/>
          <w:color w:val="231F20"/>
          <w:spacing w:val="20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et</w:t>
      </w:r>
      <w:r>
        <w:rPr>
          <w:rFonts w:ascii="Theinhardt Bold" w:eastAsia="Theinhardt Bold" w:hAnsi="Theinhardt Bold" w:cs="Theinhardt Bold"/>
          <w:b/>
          <w:bCs/>
          <w:color w:val="231F20"/>
          <w:spacing w:val="20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l’abri</w:t>
      </w:r>
      <w:r>
        <w:rPr>
          <w:rFonts w:ascii="Theinhardt Bold" w:eastAsia="Theinhardt Bold" w:hAnsi="Theinhardt Bold" w:cs="Theinhardt Bold"/>
          <w:b/>
          <w:bCs/>
          <w:color w:val="231F20"/>
          <w:spacing w:val="20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de</w:t>
      </w:r>
      <w:r>
        <w:rPr>
          <w:rFonts w:ascii="Theinhardt Bold" w:eastAsia="Theinhardt Bold" w:hAnsi="Theinhardt Bold" w:cs="Theinhardt Bold"/>
          <w:b/>
          <w:bCs/>
          <w:color w:val="231F20"/>
          <w:spacing w:val="20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protection</w:t>
      </w:r>
      <w:r>
        <w:rPr>
          <w:rFonts w:ascii="Theinhardt Bold" w:eastAsia="Theinhardt Bold" w:hAnsi="Theinhardt Bold" w:cs="Theinhardt Bold"/>
          <w:b/>
          <w:bCs/>
          <w:color w:val="231F20"/>
          <w:spacing w:val="29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civile.</w:t>
      </w:r>
    </w:p>
    <w:p w14:paraId="0657DB77" w14:textId="77777777" w:rsidR="009B6FE4" w:rsidRDefault="006522BF">
      <w:pPr>
        <w:spacing w:before="79" w:line="160" w:lineRule="exact"/>
        <w:ind w:left="337" w:right="104" w:hanging="227"/>
        <w:jc w:val="both"/>
        <w:rPr>
          <w:rFonts w:ascii="Theinhardt Bold" w:eastAsia="Theinhardt Bold" w:hAnsi="Theinhardt Bold" w:cs="Theinhardt Bold"/>
          <w:sz w:val="14"/>
          <w:szCs w:val="14"/>
        </w:rPr>
      </w:pPr>
      <w:r>
        <w:br w:type="column"/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2</w:t>
      </w:r>
      <w:r>
        <w:rPr>
          <w:rFonts w:ascii="Theinhardt Bold" w:eastAsia="Theinhardt Bold" w:hAnsi="Theinhardt Bold" w:cs="Theinhardt Bold"/>
          <w:b/>
          <w:bCs/>
          <w:color w:val="231F20"/>
          <w:spacing w:val="4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L’initiative</w:t>
      </w:r>
      <w:r>
        <w:rPr>
          <w:rFonts w:ascii="Theinhardt Bold" w:eastAsia="Theinhardt Bold" w:hAnsi="Theinhardt Bold" w:cs="Theinhardt Bold"/>
          <w:b/>
          <w:bCs/>
          <w:color w:val="231F20"/>
          <w:spacing w:val="23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du</w:t>
      </w:r>
      <w:r>
        <w:rPr>
          <w:rFonts w:ascii="Theinhardt Bold" w:eastAsia="Theinhardt Bold" w:hAnsi="Theinhardt Bold" w:cs="Theinhardt Bold"/>
          <w:b/>
          <w:bCs/>
          <w:color w:val="231F20"/>
          <w:spacing w:val="23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conseil</w:t>
      </w:r>
      <w:r>
        <w:rPr>
          <w:rFonts w:ascii="Theinhardt Bold" w:eastAsia="Theinhardt Bold" w:hAnsi="Theinhardt Bold" w:cs="Theinhardt Bold"/>
          <w:b/>
          <w:bCs/>
          <w:color w:val="231F20"/>
          <w:spacing w:val="23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municipal</w:t>
      </w:r>
      <w:r>
        <w:rPr>
          <w:rFonts w:ascii="Theinhardt Bold" w:eastAsia="Theinhardt Bold" w:hAnsi="Theinhardt Bold" w:cs="Theinhardt Bold"/>
          <w:b/>
          <w:bCs/>
          <w:color w:val="231F20"/>
          <w:spacing w:val="23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de</w:t>
      </w:r>
      <w:r>
        <w:rPr>
          <w:rFonts w:ascii="Theinhardt Bold" w:eastAsia="Theinhardt Bold" w:hAnsi="Theinhardt Bold" w:cs="Theinhardt Bold"/>
          <w:b/>
          <w:bCs/>
          <w:color w:val="231F20"/>
          <w:spacing w:val="18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4"/>
          <w:szCs w:val="14"/>
        </w:rPr>
        <w:t>Tramelan</w:t>
      </w:r>
      <w:r>
        <w:rPr>
          <w:rFonts w:ascii="Theinhardt Bold" w:eastAsia="Theinhardt Bold" w:hAnsi="Theinhardt Bold" w:cs="Theinhardt Bold"/>
          <w:b/>
          <w:bCs/>
          <w:color w:val="231F20"/>
          <w:spacing w:val="21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(remplacer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le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toit amianté par un toit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solaire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pro-</w:t>
      </w:r>
      <w:r>
        <w:rPr>
          <w:rFonts w:ascii="Theinhardt Bold" w:eastAsia="Theinhardt Bold" w:hAnsi="Theinhardt Bold" w:cs="Theinhardt Bold"/>
          <w:b/>
          <w:bCs/>
          <w:color w:val="231F20"/>
          <w:spacing w:val="26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duisant</w:t>
      </w:r>
      <w:r>
        <w:rPr>
          <w:rFonts w:ascii="Theinhardt Bold" w:eastAsia="Theinhardt Bold" w:hAnsi="Theinhardt Bold" w:cs="Theinhardt Bold"/>
          <w:b/>
          <w:bCs/>
          <w:color w:val="231F20"/>
          <w:spacing w:val="17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de</w:t>
      </w:r>
      <w:r>
        <w:rPr>
          <w:rFonts w:ascii="Theinhardt Bold" w:eastAsia="Theinhardt Bold" w:hAnsi="Theinhardt Bold" w:cs="Theinhardt Bold"/>
          <w:b/>
          <w:bCs/>
          <w:color w:val="231F20"/>
          <w:spacing w:val="17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l’énergie</w:t>
      </w:r>
      <w:r>
        <w:rPr>
          <w:rFonts w:ascii="Theinhardt Bold" w:eastAsia="Theinhardt Bold" w:hAnsi="Theinhardt Bold" w:cs="Theinhardt Bold"/>
          <w:b/>
          <w:bCs/>
          <w:color w:val="231F20"/>
          <w:spacing w:val="17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sans</w:t>
      </w:r>
      <w:r>
        <w:rPr>
          <w:rFonts w:ascii="Theinhardt Bold" w:eastAsia="Theinhardt Bold" w:hAnsi="Theinhardt Bold" w:cs="Theinhardt Bold"/>
          <w:b/>
          <w:bCs/>
          <w:color w:val="231F20"/>
          <w:spacing w:val="17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carbone)</w:t>
      </w:r>
      <w:r>
        <w:rPr>
          <w:rFonts w:ascii="Theinhardt Bold" w:eastAsia="Theinhardt Bold" w:hAnsi="Theinhardt Bold" w:cs="Theinhardt Bold"/>
          <w:b/>
          <w:bCs/>
          <w:color w:val="231F20"/>
          <w:spacing w:val="17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est</w:t>
      </w:r>
      <w:r>
        <w:rPr>
          <w:rFonts w:ascii="Theinhardt Bold" w:eastAsia="Theinhardt Bold" w:hAnsi="Theinhardt Bold" w:cs="Theinhardt Bold"/>
          <w:b/>
          <w:bCs/>
          <w:color w:val="231F20"/>
          <w:spacing w:val="17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aussi</w:t>
      </w:r>
      <w:r>
        <w:rPr>
          <w:rFonts w:ascii="Theinhardt Bold" w:eastAsia="Theinhardt Bold" w:hAnsi="Theinhardt Bold" w:cs="Theinhardt Bold"/>
          <w:b/>
          <w:bCs/>
          <w:color w:val="231F20"/>
          <w:spacing w:val="17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un</w:t>
      </w:r>
      <w:r>
        <w:rPr>
          <w:rFonts w:ascii="Theinhardt Bold" w:eastAsia="Theinhardt Bold" w:hAnsi="Theinhardt Bold" w:cs="Theinhardt Bold"/>
          <w:b/>
          <w:bCs/>
          <w:color w:val="231F20"/>
          <w:spacing w:val="20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modèle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pour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d’autres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communes.</w:t>
      </w:r>
    </w:p>
    <w:p w14:paraId="738B099E" w14:textId="77777777" w:rsidR="009B6FE4" w:rsidRDefault="009B6FE4">
      <w:pPr>
        <w:spacing w:line="160" w:lineRule="exact"/>
        <w:jc w:val="both"/>
        <w:rPr>
          <w:rFonts w:ascii="Theinhardt Bold" w:eastAsia="Theinhardt Bold" w:hAnsi="Theinhardt Bold" w:cs="Theinhardt Bold"/>
          <w:sz w:val="14"/>
          <w:szCs w:val="14"/>
        </w:rPr>
        <w:sectPr w:rsidR="009B6FE4">
          <w:type w:val="continuous"/>
          <w:pgSz w:w="11910" w:h="16840"/>
          <w:pgMar w:top="840" w:right="460" w:bottom="280" w:left="740" w:header="720" w:footer="720" w:gutter="0"/>
          <w:cols w:num="3" w:space="720" w:equalWidth="0">
            <w:col w:w="3456" w:space="343"/>
            <w:col w:w="3229" w:space="116"/>
            <w:col w:w="3566"/>
          </w:cols>
        </w:sectPr>
      </w:pPr>
    </w:p>
    <w:p w14:paraId="37FCE4BD" w14:textId="77777777" w:rsidR="009B6FE4" w:rsidRDefault="009B6FE4">
      <w:pPr>
        <w:spacing w:before="1"/>
        <w:rPr>
          <w:rFonts w:ascii="Theinhardt Bold" w:eastAsia="Theinhardt Bold" w:hAnsi="Theinhardt Bold" w:cs="Theinhardt Bold"/>
          <w:b/>
          <w:bCs/>
          <w:sz w:val="25"/>
          <w:szCs w:val="25"/>
        </w:rPr>
      </w:pPr>
    </w:p>
    <w:p w14:paraId="7BE007B0" w14:textId="77777777" w:rsidR="009B6FE4" w:rsidRDefault="006522BF">
      <w:pPr>
        <w:spacing w:before="70"/>
        <w:ind w:left="6666"/>
        <w:rPr>
          <w:rFonts w:ascii="Theinhardt Heavy" w:eastAsia="Theinhardt Heavy" w:hAnsi="Theinhardt Heavy" w:cs="Theinhardt Heavy"/>
          <w:sz w:val="14"/>
          <w:szCs w:val="14"/>
        </w:rPr>
      </w:pP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 xml:space="preserve"> 2021 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Regular"/>
          <w:color w:val="231F20"/>
          <w:sz w:val="14"/>
        </w:rPr>
        <w:t xml:space="preserve">| 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 xml:space="preserve"> 2021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Regular"/>
          <w:color w:val="231F20"/>
          <w:sz w:val="14"/>
        </w:rPr>
        <w:t xml:space="preserve">| 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Heavy"/>
          <w:b/>
          <w:color w:val="231F20"/>
          <w:sz w:val="14"/>
        </w:rPr>
        <w:t>27</w:t>
      </w:r>
    </w:p>
    <w:sectPr w:rsidR="009B6FE4">
      <w:type w:val="continuous"/>
      <w:pgSz w:w="11910" w:h="16840"/>
      <w:pgMar w:top="840" w:right="46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einhardt Regular">
    <w:altName w:val="Theinhardt Regular"/>
    <w:panose1 w:val="020B0503020202020204"/>
    <w:charset w:val="00"/>
    <w:family w:val="swiss"/>
    <w:notTrueType/>
    <w:pitch w:val="variable"/>
    <w:sig w:usb0="A00000AF" w:usb1="5000206A" w:usb2="00000000" w:usb3="00000000" w:csb0="00000093" w:csb1="00000000"/>
  </w:font>
  <w:font w:name="Theinhardt Regular Italic">
    <w:altName w:val="Theinhardt Regular Italic"/>
    <w:panose1 w:val="020B0503020202090204"/>
    <w:charset w:val="00"/>
    <w:family w:val="swiss"/>
    <w:notTrueType/>
    <w:pitch w:val="variable"/>
    <w:sig w:usb0="A00000AF" w:usb1="5000206A" w:usb2="00000000" w:usb3="00000000" w:csb0="00000093" w:csb1="00000000"/>
  </w:font>
  <w:font w:name="Theinhardt Heavy">
    <w:altName w:val="Theinhardt Heavy"/>
    <w:panose1 w:val="020B0903020202020204"/>
    <w:charset w:val="00"/>
    <w:family w:val="swiss"/>
    <w:notTrueType/>
    <w:pitch w:val="variable"/>
    <w:sig w:usb0="A00000AF" w:usb1="5000206A" w:usb2="00000000" w:usb3="00000000" w:csb0="00000093" w:csb1="00000000"/>
  </w:font>
  <w:font w:name="Theinhardt Bold">
    <w:altName w:val="Theinhardt Bold"/>
    <w:panose1 w:val="020B0804020202020204"/>
    <w:charset w:val="00"/>
    <w:family w:val="swiss"/>
    <w:notTrueType/>
    <w:pitch w:val="variable"/>
    <w:sig w:usb0="A00000AF" w:usb1="5000206A" w:usb2="00000000" w:usb3="00000000" w:csb0="00000093" w:csb1="00000000"/>
  </w:font>
  <w:font w:name="Theinhardt Black">
    <w:altName w:val="Theinhardt Black"/>
    <w:panose1 w:val="020B0A04020202020204"/>
    <w:charset w:val="00"/>
    <w:family w:val="swiss"/>
    <w:notTrueType/>
    <w:pitch w:val="variable"/>
    <w:sig w:usb0="A00000AF" w:usb1="4000206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B6FE4"/>
    <w:rsid w:val="006522BF"/>
    <w:rsid w:val="009B6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</o:shapelayout>
  </w:shapeDefaults>
  <w:decimalSymbol w:val="."/>
  <w:listSeparator w:val=";"/>
  <w14:docId w14:val="48068202"/>
  <w15:docId w15:val="{BB429371-193B-494A-A3BF-3A172BDE6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uiPriority w:val="9"/>
    <w:qFormat/>
    <w:pPr>
      <w:ind w:left="108" w:firstLine="226"/>
      <w:outlineLvl w:val="0"/>
    </w:pPr>
    <w:rPr>
      <w:rFonts w:ascii="Theinhardt Regular" w:eastAsia="Theinhardt Regular" w:hAnsi="Theinhardt Regular"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ind w:left="108"/>
    </w:pPr>
    <w:rPr>
      <w:rFonts w:ascii="Theinhardt Regular Italic" w:eastAsia="Theinhardt Regular Italic" w:hAnsi="Theinhardt Regular Italic"/>
      <w:i/>
      <w:sz w:val="18"/>
      <w:szCs w:val="18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.cattin@oppliger-bois.ch" TargetMode="External"/><Relationship Id="rId13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hyperlink" Target="mailto:info@eco6therm.ch" TargetMode="External"/><Relationship Id="rId12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planair.ch" TargetMode="External"/><Relationship Id="rId11" Type="http://schemas.openxmlformats.org/officeDocument/2006/relationships/hyperlink" Target="mailto:pascal@gcsa.ch" TargetMode="External"/><Relationship Id="rId5" Type="http://schemas.openxmlformats.org/officeDocument/2006/relationships/hyperlink" Target="mailto:mairie@tramelan.ch" TargetMode="External"/><Relationship Id="rId15" Type="http://schemas.openxmlformats.org/officeDocument/2006/relationships/theme" Target="theme/theme1.xml"/><Relationship Id="rId10" Type="http://schemas.openxmlformats.org/officeDocument/2006/relationships/hyperlink" Target="mailto:nicolet-toiture@bluewin.ch" TargetMode="External"/><Relationship Id="rId4" Type="http://schemas.openxmlformats.org/officeDocument/2006/relationships/image" Target="media/image1.png"/><Relationship Id="rId9" Type="http://schemas.openxmlformats.org/officeDocument/2006/relationships/hyperlink" Target="mailto:senaud@bluewin.ch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882</Words>
  <Characters>5562</Characters>
  <Application>Microsoft Office Word</Application>
  <DocSecurity>0</DocSecurity>
  <Lines>46</Lines>
  <Paragraphs>12</Paragraphs>
  <ScaleCrop>false</ScaleCrop>
  <Company/>
  <LinksUpToDate>false</LinksUpToDate>
  <CharactersWithSpaces>6432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sgsof4</cp:lastModifiedBy>
  <cp:revision>2</cp:revision>
  <dcterms:created xsi:type="dcterms:W3CDTF">2021-10-19T13:57:00Z</dcterms:created>
  <dcterms:modified xsi:type="dcterms:W3CDTF">2021-10-19T11:57:00Z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2021-10-19T00:00:00Z</vt:filetime>
  </property>
  <property fmtid="{D5CDD505-2E9C-101B-9397-08002B2CF9AE}" pid="3" name="LastSaved">
    <vt:filetime>2021-10-19T00:00:00Z</vt:filetime>
  </property>
</Properties>
</file>