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0896" w14:textId="77777777" w:rsidR="00D12924" w:rsidRDefault="00D91C6D">
      <w:pPr>
        <w:tabs>
          <w:tab w:val="left" w:pos="2540"/>
        </w:tabs>
        <w:spacing w:before="28" w:line="230" w:lineRule="exact"/>
        <w:ind w:left="110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7AC0196D">
          <v:group id="_x0000_s1053" style="position:absolute;left:0;text-align:left;margin-left:42.75pt;margin-top:13.65pt;width:.1pt;height:.1pt;z-index:-4408;mso-position-horizontal-relative:page" coordorigin="855,273" coordsize="2,2">
            <v:shape id="_x0000_s1054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369C6B1A">
          <v:group id="_x0000_s1051" style="position:absolute;left:0;text-align:left;margin-left:164.45pt;margin-top:13.65pt;width:.1pt;height:.1pt;z-index:1120;mso-position-horizontal-relative:page" coordorigin="3289,273" coordsize="2,2">
            <v:shape id="_x0000_s1052" style="position:absolute;left:3289;top:273;width:2;height:2" coordorigin="3289,273" coordsize="0,0" path="m3289,273r,e" filled="f" strokecolor="#231f20" strokeweight=".14994mm">
              <v:path arrowok="t"/>
            </v:shape>
            <w10:wrap anchorx="page"/>
          </v:group>
        </w:pict>
      </w:r>
      <w:r>
        <w:pict w14:anchorId="29C58BB4">
          <v:group id="_x0000_s1049" style="position:absolute;left:0;text-align:left;margin-left:42.75pt;margin-top:25.15pt;width:.1pt;height:.1pt;z-index:-4360;mso-position-horizontal-relative:page" coordorigin="855,503" coordsize="2,2">
            <v:shape id="_x0000_s1050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1A8D4844">
          <v:group id="_x0000_s1047" style="position:absolute;left:0;text-align:left;margin-left:164.45pt;margin-top:25.15pt;width:.1pt;height:.1pt;z-index:1168;mso-position-horizontal-relative:page" coordorigin="3289,503" coordsize="2,2">
            <v:shape id="_x0000_s1048" style="position:absolute;left:3289;top:503;width:2;height:2" coordorigin="3289,503" coordsize="0,0" path="m3289,50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Kategorie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 xml:space="preserve"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pacing w:val="-1"/>
          <w:sz w:val="18"/>
          <w:u w:val="dotted" w:color="231F20"/>
        </w:rPr>
        <w:t>Sanierungen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3E3F2E52" w14:textId="77777777" w:rsidR="00D12924" w:rsidRDefault="00D91C6D">
      <w:pPr>
        <w:spacing w:before="28" w:line="230" w:lineRule="exact"/>
        <w:ind w:left="110" w:right="11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um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proofErr w:type="gram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proofErr w:type="gramEnd"/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Jahrhundertwende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1901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als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Teil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einer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heute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städtebaulich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intakten</w:t>
      </w:r>
      <w:r>
        <w:rPr>
          <w:rFonts w:ascii="Theinhardt Bold" w:eastAsia="Theinhardt Bold" w:hAnsi="Theinhardt Bold" w:cs="Theinhardt Bold"/>
          <w:b/>
          <w:bCs/>
          <w:color w:val="0C1C23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Blockrand-</w:t>
      </w:r>
      <w:r>
        <w:rPr>
          <w:rFonts w:ascii="Theinhardt Bold" w:eastAsia="Theinhardt Bold" w:hAnsi="Theinhardt Bold" w:cs="Theinhardt Bold"/>
          <w:b/>
          <w:bCs/>
          <w:color w:val="0C1C23"/>
          <w:spacing w:val="7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bebauung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erbaute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viergeschossige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Mehrfamilienhaus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an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Martastrasse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Zürich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0C1C23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durch</w:t>
      </w:r>
      <w:r>
        <w:rPr>
          <w:rFonts w:ascii="Theinhardt Bold" w:eastAsia="Theinhardt Bold" w:hAnsi="Theinhardt Bold" w:cs="Theinhardt Bold"/>
          <w:b/>
          <w:bCs/>
          <w:color w:val="0C1C23"/>
          <w:spacing w:val="5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Sanierung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seiner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ursprünglichen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Struktur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erhalten.</w:t>
      </w:r>
      <w:r>
        <w:rPr>
          <w:rFonts w:ascii="Theinhardt Bold" w:eastAsia="Theinhardt Bold" w:hAnsi="Theinhardt Bold" w:cs="Theinhardt Bold"/>
          <w:b/>
          <w:bCs/>
          <w:color w:val="0C1C23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Dafür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wurden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zusätzliches</w:t>
      </w:r>
      <w:r>
        <w:rPr>
          <w:rFonts w:ascii="Theinhardt Bold" w:eastAsia="Theinhardt Bold" w:hAnsi="Theinhardt Bold" w:cs="Theinhardt Bold"/>
          <w:b/>
          <w:bCs/>
          <w:color w:val="0C1C23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Voll-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5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zwei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Dachgeschosse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aufgestockt.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Energiebezugsfläche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stieg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523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</w:t>
      </w:r>
      <w:proofErr w:type="gram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position w:val="6"/>
          <w:sz w:val="10"/>
          <w:szCs w:val="10"/>
        </w:rPr>
        <w:t xml:space="preserve"> 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auf</w:t>
      </w:r>
      <w:proofErr w:type="gram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829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5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MFH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konsumierte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vor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Sanierung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130’800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-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guter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Dachdämmung,</w:t>
      </w:r>
      <w:r>
        <w:rPr>
          <w:rFonts w:ascii="Theinhardt Bold" w:eastAsia="Theinhardt Bold" w:hAnsi="Theinhardt Bold" w:cs="Theinhardt Bold"/>
          <w:b/>
          <w:bCs/>
          <w:color w:val="0C1C23"/>
          <w:spacing w:val="-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energiespa-</w:t>
      </w:r>
      <w:r>
        <w:rPr>
          <w:rFonts w:ascii="Theinhardt Bold" w:eastAsia="Theinhardt Bold" w:hAnsi="Theinhardt Bold" w:cs="Theinhardt Bold"/>
          <w:b/>
          <w:bCs/>
          <w:color w:val="0C1C23"/>
          <w:spacing w:val="5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renden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Haushaltsgeräten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LED-Lampen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beträgt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Gesamtenergiebedarf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heute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nicht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mehr</w:t>
      </w:r>
      <w:r>
        <w:rPr>
          <w:rFonts w:ascii="Theinhardt Bold" w:eastAsia="Theinhardt Bold" w:hAnsi="Theinhardt Bold" w:cs="Theinhardt Bold"/>
          <w:b/>
          <w:bCs/>
          <w:color w:val="0C1C23"/>
          <w:spacing w:val="7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als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76’900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ganzflächig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integrierte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13.9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PV-Dachanlage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erzeugt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8’400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Sie</w:t>
      </w:r>
      <w:r>
        <w:rPr>
          <w:rFonts w:ascii="Theinhardt Bold" w:eastAsia="Theinhardt Bold" w:hAnsi="Theinhardt Bold" w:cs="Theinhardt Bold"/>
          <w:b/>
          <w:bCs/>
          <w:color w:val="0C1C23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deckt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11%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Gesamtenergiebedarfs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 reduziert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dadurch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rund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3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CO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-Emissionen.</w:t>
      </w:r>
    </w:p>
    <w:p w14:paraId="18E0D2BD" w14:textId="77777777" w:rsidR="00D12924" w:rsidRDefault="00D12924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D12924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2541" w:space="137"/>
            <w:col w:w="8052"/>
          </w:cols>
        </w:sectPr>
      </w:pPr>
    </w:p>
    <w:p w14:paraId="04015310" w14:textId="77777777" w:rsidR="00D12924" w:rsidRDefault="00D1292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2485C32" w14:textId="77777777" w:rsidR="00D12924" w:rsidRDefault="00D1292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D059FAA" w14:textId="77777777" w:rsidR="00D12924" w:rsidRDefault="00D12924">
      <w:pPr>
        <w:spacing w:before="1"/>
        <w:rPr>
          <w:rFonts w:ascii="Theinhardt Bold" w:eastAsia="Theinhardt Bold" w:hAnsi="Theinhardt Bold" w:cs="Theinhardt Bold"/>
          <w:b/>
          <w:bCs/>
          <w:sz w:val="26"/>
          <w:szCs w:val="26"/>
        </w:rPr>
      </w:pPr>
    </w:p>
    <w:p w14:paraId="6BCB0AC1" w14:textId="77777777" w:rsidR="00D12924" w:rsidRDefault="00D91C6D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3"/>
          <w:sz w:val="40"/>
        </w:rPr>
        <w:t>11%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3"/>
          <w:sz w:val="40"/>
        </w:rPr>
        <w:t>MFH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1"/>
          <w:sz w:val="40"/>
        </w:rPr>
        <w:t>Sanierung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2"/>
          <w:sz w:val="40"/>
        </w:rPr>
        <w:t>Kofmel,</w:t>
      </w:r>
      <w:r>
        <w:rPr>
          <w:rFonts w:ascii="Theinhardt Black" w:hAnsi="Theinhardt Black"/>
          <w:b/>
          <w:color w:val="0067B1"/>
          <w:spacing w:val="-33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3"/>
          <w:sz w:val="40"/>
        </w:rPr>
        <w:t>8004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2"/>
          <w:sz w:val="40"/>
        </w:rPr>
        <w:t>Zürich/ZH</w:t>
      </w:r>
    </w:p>
    <w:p w14:paraId="676891AF" w14:textId="77777777" w:rsidR="00D12924" w:rsidRDefault="00D12924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31A9E547" w14:textId="77777777" w:rsidR="00D12924" w:rsidRDefault="00D12924">
      <w:pPr>
        <w:rPr>
          <w:rFonts w:ascii="Theinhardt Black" w:eastAsia="Theinhardt Black" w:hAnsi="Theinhardt Black" w:cs="Theinhardt Black"/>
        </w:rPr>
        <w:sectPr w:rsidR="00D12924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5DCDB48D" w14:textId="77777777" w:rsidR="00D12924" w:rsidRDefault="00D91C6D">
      <w:pPr>
        <w:pStyle w:val="Textkrper"/>
        <w:spacing w:before="71" w:line="230" w:lineRule="exact"/>
        <w:jc w:val="both"/>
      </w:pPr>
      <w:r>
        <w:rPr>
          <w:color w:val="231F20"/>
        </w:rPr>
        <w:t>Das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1901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Teil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eines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einheitlichen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Blockrandes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gebaute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Mehrfamilienhaus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Kof-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mel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liegt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Quartiererhaltungszone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im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zentrumsnahen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Stadtzürcher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Kreis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4.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den</w:t>
      </w:r>
    </w:p>
    <w:p w14:paraId="3794644F" w14:textId="77777777" w:rsidR="00D12924" w:rsidRDefault="00D91C6D">
      <w:pPr>
        <w:pStyle w:val="Textkrper"/>
        <w:spacing w:before="71" w:line="230" w:lineRule="exact"/>
        <w:ind w:hanging="1"/>
        <w:jc w:val="both"/>
      </w:pPr>
      <w:r>
        <w:br w:type="column"/>
      </w:r>
      <w:r>
        <w:rPr>
          <w:color w:val="231F20"/>
          <w:spacing w:val="-2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45</w:t>
      </w:r>
      <w:r>
        <w:rPr>
          <w:color w:val="231F20"/>
          <w:spacing w:val="-3"/>
        </w:rPr>
        <w:t xml:space="preserve"> Abs.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EnG </w:t>
      </w:r>
      <w:r>
        <w:rPr>
          <w:color w:val="231F20"/>
          <w:spacing w:val="-2"/>
        </w:rPr>
        <w:t>umgesetzten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Bausa-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  <w:spacing w:val="-3"/>
        </w:rPr>
        <w:t>nierung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würde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MFH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Kofmel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als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Min.P-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3"/>
        </w:rPr>
        <w:t>Gebäude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bloss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26’500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kWh/a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benötigen,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  <w:spacing w:val="-3"/>
        </w:rPr>
        <w:t>50’300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kWh/a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Energieverluste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und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damit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jähr-</w:t>
      </w:r>
    </w:p>
    <w:p w14:paraId="52D8F16E" w14:textId="77777777" w:rsidR="00D12924" w:rsidRDefault="00D91C6D">
      <w:pPr>
        <w:spacing w:before="67"/>
        <w:ind w:left="110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67B2F4C8" w14:textId="77777777" w:rsidR="00D12924" w:rsidRDefault="00D1292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765851B" w14:textId="77777777" w:rsidR="00D12924" w:rsidRDefault="00D91C6D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AEFA8BE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CB03E96" w14:textId="77777777" w:rsidR="00D12924" w:rsidRDefault="00D91C6D">
      <w:pPr>
        <w:spacing w:before="20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(Neubauteil)</w:t>
      </w:r>
    </w:p>
    <w:p w14:paraId="405E0245" w14:textId="77777777" w:rsidR="00D12924" w:rsidRDefault="00D91C6D">
      <w:pPr>
        <w:tabs>
          <w:tab w:val="left" w:pos="1202"/>
          <w:tab w:val="left" w:pos="1792"/>
          <w:tab w:val="left" w:pos="2666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0.19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7189DB9E" w14:textId="77777777" w:rsidR="00D12924" w:rsidRDefault="00D91C6D">
      <w:pPr>
        <w:tabs>
          <w:tab w:val="left" w:pos="1197"/>
          <w:tab w:val="left" w:pos="1792"/>
          <w:tab w:val="left" w:pos="2667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50BB3256" w14:textId="77777777" w:rsidR="00D12924" w:rsidRDefault="00D91C6D">
      <w:pPr>
        <w:tabs>
          <w:tab w:val="left" w:pos="1204"/>
          <w:tab w:val="left" w:pos="1792"/>
          <w:tab w:val="left" w:pos="2650"/>
        </w:tabs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0.24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3886E37C" w14:textId="77777777" w:rsidR="00D12924" w:rsidRDefault="00D12924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D12924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56" w:space="116"/>
            <w:col w:w="3467" w:space="99"/>
            <w:col w:w="3592"/>
          </w:cols>
        </w:sectPr>
      </w:pPr>
    </w:p>
    <w:p w14:paraId="29D1E883" w14:textId="77777777" w:rsidR="00D12924" w:rsidRDefault="00D91C6D">
      <w:pPr>
        <w:pStyle w:val="Textkrper"/>
        <w:spacing w:line="224" w:lineRule="exact"/>
      </w:pPr>
      <w:r>
        <w:rPr>
          <w:color w:val="231F20"/>
          <w:spacing w:val="-1"/>
        </w:rPr>
        <w:t>letzten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Jahrzehnten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mehrheitlich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Büro-</w:t>
      </w:r>
    </w:p>
    <w:p w14:paraId="74D1A29B" w14:textId="77777777" w:rsidR="00D12924" w:rsidRDefault="00D91C6D">
      <w:pPr>
        <w:pStyle w:val="Textkrper"/>
        <w:spacing w:line="224" w:lineRule="exact"/>
        <w:rPr>
          <w:sz w:val="10"/>
          <w:szCs w:val="10"/>
        </w:rPr>
      </w:pPr>
      <w:r>
        <w:br w:type="column"/>
      </w:r>
      <w:r>
        <w:rPr>
          <w:color w:val="231F20"/>
          <w:spacing w:val="-2"/>
        </w:rPr>
        <w:t>lich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rund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19.9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  <w:position w:val="-5"/>
          <w:sz w:val="10"/>
        </w:rPr>
        <w:t>2</w:t>
      </w:r>
    </w:p>
    <w:p w14:paraId="29581D47" w14:textId="77777777" w:rsidR="00D12924" w:rsidRDefault="00D91C6D">
      <w:pPr>
        <w:pStyle w:val="Textkrper"/>
        <w:spacing w:line="224" w:lineRule="exact"/>
        <w:ind w:left="28"/>
      </w:pPr>
      <w:r>
        <w:rPr>
          <w:w w:val="95"/>
        </w:rPr>
        <w:br w:type="column"/>
      </w:r>
      <w:r>
        <w:rPr>
          <w:color w:val="231F20"/>
          <w:spacing w:val="-2"/>
          <w:w w:val="95"/>
        </w:rPr>
        <w:t>Emissionen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3"/>
          <w:w w:val="95"/>
        </w:rPr>
        <w:t>reduzieren,</w:t>
      </w:r>
    </w:p>
    <w:p w14:paraId="34680822" w14:textId="77777777" w:rsidR="00D12924" w:rsidRDefault="00D91C6D">
      <w:pPr>
        <w:tabs>
          <w:tab w:val="left" w:pos="1078"/>
          <w:tab w:val="left" w:pos="1792"/>
          <w:tab w:val="left" w:pos="2650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  <w:t>dreifach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1.00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160CC3F1" w14:textId="77777777" w:rsidR="00D12924" w:rsidRDefault="00D12924">
      <w:pPr>
        <w:spacing w:line="160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D12924">
          <w:type w:val="continuous"/>
          <w:pgSz w:w="11910" w:h="16840"/>
          <w:pgMar w:top="840" w:right="440" w:bottom="280" w:left="740" w:header="720" w:footer="720" w:gutter="0"/>
          <w:cols w:num="4" w:space="720" w:equalWidth="0">
            <w:col w:w="3456" w:space="116"/>
            <w:col w:w="1675" w:space="40"/>
            <w:col w:w="1750" w:space="102"/>
            <w:col w:w="3591"/>
          </w:cols>
        </w:sectPr>
      </w:pPr>
    </w:p>
    <w:p w14:paraId="02C5A1E3" w14:textId="77777777" w:rsidR="00D12924" w:rsidRDefault="00D91C6D">
      <w:pPr>
        <w:pStyle w:val="Textkrper"/>
        <w:spacing w:before="7" w:line="232" w:lineRule="auto"/>
        <w:jc w:val="both"/>
      </w:pPr>
      <w:r>
        <w:rPr>
          <w:color w:val="231F20"/>
          <w:spacing w:val="-2"/>
        </w:rPr>
        <w:t>haus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genutzt,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wurde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Haus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2018/2019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umfassend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saniert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aufgestockt.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Ziel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war,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Originalität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Charme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Gebäudes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so-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wie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seine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Grundrisse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erhalten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einer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langfristigen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Wohnnutzung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zuzuführen.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MFH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Kofmel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wurde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um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ein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Voll-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zwei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Dachgeschosse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erhöht,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drei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obersten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Geschosse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wurden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Holzelementbau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aus-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geführt,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entstanden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12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moderne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Kleinwohnungen.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Öl-,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 xml:space="preserve">Gas- </w:t>
      </w:r>
      <w:r>
        <w:rPr>
          <w:color w:val="231F20"/>
          <w:spacing w:val="-2"/>
        </w:rPr>
        <w:t>oder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Elektro-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öfen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Wohnungen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wurden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durch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eine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zentrale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Biogasheizung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  <w:spacing w:val="-1"/>
        </w:rPr>
        <w:t>ersetzt.*</w:t>
      </w:r>
      <w:proofErr w:type="gramEnd"/>
      <w:r>
        <w:rPr>
          <w:color w:val="231F20"/>
          <w:spacing w:val="3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Dach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wurde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komplett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erneuert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32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sehr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gut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gedämmt.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zweigeschossige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Dach-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fläche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wurde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einer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ganzflächig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vorbildlich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integrierten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13.9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kW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starken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Südost-Nord-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west-PV-Anlage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versehen.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produzierte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Solarstrom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8’400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kWh/a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deckt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11%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Energiebedarfs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Mehrfamilienhauses.</w:t>
      </w:r>
    </w:p>
    <w:p w14:paraId="72E030D1" w14:textId="77777777" w:rsidR="00D12924" w:rsidRDefault="00D91C6D">
      <w:pPr>
        <w:pStyle w:val="Textkrper"/>
        <w:spacing w:line="232" w:lineRule="auto"/>
        <w:ind w:right="9" w:firstLine="226"/>
      </w:pPr>
      <w:r>
        <w:rPr>
          <w:color w:val="231F20"/>
          <w:spacing w:val="-2"/>
        </w:rPr>
        <w:t>Mit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einer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(leider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nicht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bewilligten)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dem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  <w:spacing w:val="-2"/>
        </w:rPr>
        <w:t>Stand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Technik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entsprechend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44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Abs.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4</w:t>
      </w:r>
    </w:p>
    <w:p w14:paraId="1DBDBA57" w14:textId="77777777" w:rsidR="00D12924" w:rsidRDefault="00D12924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2A2621E" w14:textId="77777777" w:rsidR="00D12924" w:rsidRDefault="00D12924">
      <w:pPr>
        <w:spacing w:before="11"/>
        <w:rPr>
          <w:rFonts w:ascii="Theinhardt Regular" w:eastAsia="Theinhardt Regular" w:hAnsi="Theinhardt Regular" w:cs="Theinhardt Regular"/>
          <w:sz w:val="29"/>
          <w:szCs w:val="29"/>
        </w:rPr>
      </w:pPr>
    </w:p>
    <w:p w14:paraId="7A9AC973" w14:textId="77777777" w:rsidR="00D12924" w:rsidRDefault="00D91C6D">
      <w:pPr>
        <w:spacing w:line="200" w:lineRule="atLeast"/>
        <w:ind w:left="1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172943CA" wp14:editId="251A49CB">
            <wp:extent cx="2126983" cy="2090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983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3598" w14:textId="77777777" w:rsidR="00D12924" w:rsidRDefault="00D91C6D">
      <w:pPr>
        <w:spacing w:before="12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7127C296" w14:textId="77777777" w:rsidR="00D12924" w:rsidRDefault="00D91C6D">
      <w:pPr>
        <w:pStyle w:val="Textkrper"/>
        <w:spacing w:before="7" w:line="232" w:lineRule="auto"/>
        <w:jc w:val="both"/>
      </w:pPr>
      <w:r>
        <w:br w:type="column"/>
      </w:r>
      <w:r>
        <w:rPr>
          <w:color w:val="231F20"/>
          <w:spacing w:val="-2"/>
        </w:rPr>
        <w:t xml:space="preserve">die </w:t>
      </w:r>
      <w:r>
        <w:rPr>
          <w:color w:val="231F20"/>
          <w:spacing w:val="-3"/>
        </w:rPr>
        <w:t>zur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Klimaerwärmung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beitragen.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einer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3"/>
        </w:rPr>
        <w:t>optimal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integrierten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PV-Fassade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ab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1.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Eta-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  <w:spacing w:val="-2"/>
        </w:rPr>
        <w:t>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liessen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sich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sehr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wahrscheinlich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sämtliche</w:t>
      </w:r>
      <w:r>
        <w:rPr>
          <w:color w:val="231F20"/>
          <w:spacing w:val="49"/>
          <w:w w:val="96"/>
        </w:rPr>
        <w:t xml:space="preserve"> </w:t>
      </w:r>
      <w:r>
        <w:rPr>
          <w:color w:val="231F20"/>
          <w:spacing w:val="-3"/>
        </w:rPr>
        <w:t>ca.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24.5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CO</w:t>
      </w:r>
      <w:r>
        <w:rPr>
          <w:color w:val="231F20"/>
          <w:spacing w:val="-3"/>
          <w:position w:val="-5"/>
          <w:sz w:val="10"/>
        </w:rPr>
        <w:t>2</w:t>
      </w:r>
      <w:r>
        <w:rPr>
          <w:color w:val="231F20"/>
          <w:position w:val="-5"/>
          <w:sz w:val="10"/>
        </w:rPr>
        <w:t xml:space="preserve"> </w:t>
      </w:r>
      <w:r>
        <w:rPr>
          <w:color w:val="231F20"/>
          <w:spacing w:val="-5"/>
        </w:rPr>
        <w:t>Emissionen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auf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Null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reduzieren.</w:t>
      </w:r>
    </w:p>
    <w:p w14:paraId="1D60E171" w14:textId="77777777" w:rsidR="00D12924" w:rsidRDefault="00D91C6D">
      <w:pPr>
        <w:spacing w:line="127" w:lineRule="exact"/>
        <w:ind w:left="110"/>
        <w:jc w:val="both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*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fossiler</w:t>
      </w:r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Anteil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Biogas≈98.3%;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vgl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Ziff.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>6,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>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>39</w:t>
      </w:r>
    </w:p>
    <w:p w14:paraId="28B563B9" w14:textId="77777777" w:rsidR="00D12924" w:rsidRDefault="00D12924">
      <w:pPr>
        <w:rPr>
          <w:rFonts w:ascii="Theinhardt Regular Italic" w:eastAsia="Theinhardt Regular Italic" w:hAnsi="Theinhardt Regular Italic" w:cs="Theinhardt Regular Italic"/>
          <w:i/>
          <w:sz w:val="14"/>
          <w:szCs w:val="14"/>
        </w:rPr>
      </w:pPr>
    </w:p>
    <w:p w14:paraId="51BF8879" w14:textId="77777777" w:rsidR="00D12924" w:rsidRDefault="00D91C6D">
      <w:pPr>
        <w:spacing w:before="117" w:line="232" w:lineRule="auto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Érigé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1901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modèle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constructions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carré,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l’immeuble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résidentiel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quatre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éta-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Martastrasse,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Zurich,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subi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d’importants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travaux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rénovation.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Tout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préservant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structure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d’origine,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ajou-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étage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complet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étages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man-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sardés.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surface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référence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énergétique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est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passée de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523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829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La bonne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isola-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toit,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l’électroménager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efficient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éclairage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permis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d’abaisser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130’800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76’900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intégrée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l’ensemble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toitu-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13,9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génère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8’400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couvre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11%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consommation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réduit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émissions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</w:p>
    <w:p w14:paraId="3BE362BF" w14:textId="77777777" w:rsidR="00D12924" w:rsidRDefault="00D12924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1D501C98" w14:textId="77777777" w:rsidR="00D12924" w:rsidRDefault="00D12924">
      <w:pPr>
        <w:spacing w:before="5"/>
        <w:rPr>
          <w:rFonts w:ascii="Theinhardt Regular Italic" w:eastAsia="Theinhardt Regular Italic" w:hAnsi="Theinhardt Regular Italic" w:cs="Theinhardt Regular Italic"/>
          <w:i/>
          <w:sz w:val="26"/>
          <w:szCs w:val="26"/>
        </w:rPr>
      </w:pPr>
    </w:p>
    <w:p w14:paraId="2565B994" w14:textId="77777777" w:rsidR="00D12924" w:rsidRDefault="00D91C6D">
      <w:pPr>
        <w:spacing w:line="200" w:lineRule="atLeast"/>
        <w:ind w:left="110"/>
        <w:rPr>
          <w:rFonts w:ascii="Theinhardt Regular Italic" w:eastAsia="Theinhardt Regular Italic" w:hAnsi="Theinhardt Regular Italic" w:cs="Theinhardt Regular Italic"/>
          <w:sz w:val="20"/>
          <w:szCs w:val="20"/>
        </w:rPr>
      </w:pPr>
      <w:r>
        <w:rPr>
          <w:rFonts w:ascii="Theinhardt Regular Italic" w:eastAsia="Theinhardt Regular Italic" w:hAnsi="Theinhardt Regular Italic" w:cs="Theinhardt Regular Italic"/>
          <w:noProof/>
          <w:sz w:val="20"/>
          <w:szCs w:val="20"/>
        </w:rPr>
        <w:drawing>
          <wp:inline distT="0" distB="0" distL="0" distR="0" wp14:anchorId="7C8DA711" wp14:editId="614F2B76">
            <wp:extent cx="2127227" cy="21000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27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2BBF" w14:textId="77777777" w:rsidR="00D12924" w:rsidRDefault="00D91C6D">
      <w:pPr>
        <w:spacing w:before="12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</w:p>
    <w:p w14:paraId="24D41515" w14:textId="77777777" w:rsidR="00D12924" w:rsidRDefault="00D91C6D">
      <w:pPr>
        <w:spacing w:line="140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pacing w:val="1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(100%)</w:t>
      </w:r>
    </w:p>
    <w:p w14:paraId="7739802C" w14:textId="77777777" w:rsidR="00D12924" w:rsidRDefault="00D91C6D">
      <w:pPr>
        <w:tabs>
          <w:tab w:val="left" w:pos="1697"/>
          <w:tab w:val="left" w:pos="2016"/>
          <w:tab w:val="left" w:pos="2494"/>
          <w:tab w:val="left" w:pos="2880"/>
        </w:tabs>
        <w:spacing w:before="6" w:line="207" w:lineRule="auto"/>
        <w:ind w:left="110" w:right="187" w:hanging="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523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220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88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115’060</w:t>
      </w:r>
    </w:p>
    <w:p w14:paraId="73F70501" w14:textId="77777777" w:rsidR="00D12924" w:rsidRDefault="00D91C6D">
      <w:pPr>
        <w:tabs>
          <w:tab w:val="left" w:pos="2097"/>
        </w:tabs>
        <w:spacing w:line="154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30     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15’690</w:t>
      </w:r>
    </w:p>
    <w:p w14:paraId="6687DC4A" w14:textId="77777777" w:rsidR="00D12924" w:rsidRDefault="00D91C6D">
      <w:pPr>
        <w:tabs>
          <w:tab w:val="left" w:pos="2015"/>
        </w:tabs>
        <w:spacing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250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130’750</w:t>
      </w:r>
    </w:p>
    <w:p w14:paraId="051AF680" w14:textId="77777777" w:rsidR="00D12924" w:rsidRDefault="00D91C6D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 xml:space="preserve"> (59%)</w:t>
      </w:r>
    </w:p>
    <w:p w14:paraId="766F4A63" w14:textId="77777777" w:rsidR="00D12924" w:rsidRDefault="00D91C6D">
      <w:pPr>
        <w:tabs>
          <w:tab w:val="left" w:pos="1697"/>
          <w:tab w:val="left" w:pos="1989"/>
          <w:tab w:val="left" w:pos="2533"/>
          <w:tab w:val="left" w:pos="2942"/>
        </w:tabs>
        <w:spacing w:before="6" w:line="207" w:lineRule="auto"/>
        <w:ind w:left="110" w:right="18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829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71.2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76.7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59’030</w:t>
      </w:r>
    </w:p>
    <w:p w14:paraId="2685B985" w14:textId="77777777" w:rsidR="00D12924" w:rsidRDefault="00D91C6D">
      <w:pPr>
        <w:tabs>
          <w:tab w:val="left" w:pos="1991"/>
        </w:tabs>
        <w:spacing w:line="154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21.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23.3</w:t>
      </w:r>
      <w:proofErr w:type="gram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17’900</w:t>
      </w:r>
    </w:p>
    <w:p w14:paraId="732AD90A" w14:textId="77777777" w:rsidR="00D12924" w:rsidRDefault="00D91C6D">
      <w:pPr>
        <w:tabs>
          <w:tab w:val="left" w:pos="1966"/>
        </w:tabs>
        <w:spacing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92.8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100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76’930</w:t>
      </w:r>
    </w:p>
    <w:p w14:paraId="4DD5378A" w14:textId="77777777" w:rsidR="00D12924" w:rsidRDefault="00D91C6D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07C079FC" w14:textId="77777777" w:rsidR="00D12924" w:rsidRDefault="00D91C6D">
      <w:pPr>
        <w:tabs>
          <w:tab w:val="left" w:pos="969"/>
          <w:tab w:val="left" w:pos="2098"/>
          <w:tab w:val="left" w:pos="2533"/>
          <w:tab w:val="left" w:pos="2992"/>
          <w:tab w:val="left" w:pos="3022"/>
        </w:tabs>
        <w:spacing w:before="6" w:line="207" w:lineRule="auto"/>
        <w:ind w:left="110" w:right="18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81.4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13.9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98 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10.9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8’370</w:t>
      </w:r>
    </w:p>
    <w:p w14:paraId="7E146BA5" w14:textId="77777777" w:rsidR="00D12924" w:rsidRDefault="00D91C6D">
      <w:pPr>
        <w:tabs>
          <w:tab w:val="left" w:pos="2371"/>
          <w:tab w:val="left" w:pos="2533"/>
        </w:tabs>
        <w:spacing w:line="207" w:lineRule="auto"/>
        <w:ind w:left="110" w:right="18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10.9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8’370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Energiebilanz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(Endenergie)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%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10.9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  </w:t>
      </w:r>
      <w:r>
        <w:rPr>
          <w:rFonts w:ascii="Theinhardt Regular" w:eastAsia="Theinhardt Regular" w:hAnsi="Theinhardt Regular" w:cs="Theinhardt Regular"/>
          <w:color w:val="231F20"/>
          <w:spacing w:val="1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8’370</w:t>
      </w:r>
    </w:p>
    <w:p w14:paraId="7072947F" w14:textId="77777777" w:rsidR="00D12924" w:rsidRDefault="00D91C6D">
      <w:pPr>
        <w:tabs>
          <w:tab w:val="left" w:pos="2414"/>
        </w:tabs>
        <w:spacing w:line="154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Gesamtenergiebedarf: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76’930</w:t>
      </w:r>
    </w:p>
    <w:p w14:paraId="76B7BA34" w14:textId="77777777" w:rsidR="00D12924" w:rsidRDefault="00D91C6D">
      <w:pPr>
        <w:tabs>
          <w:tab w:val="left" w:pos="2378"/>
        </w:tabs>
        <w:spacing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Fremdenergiezufuhr: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89.1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68’560</w:t>
      </w:r>
    </w:p>
    <w:p w14:paraId="016F56A7" w14:textId="77777777" w:rsidR="00D12924" w:rsidRDefault="00D91C6D">
      <w:pPr>
        <w:spacing w:before="83" w:line="160" w:lineRule="exact"/>
        <w:ind w:left="110" w:right="1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vom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ewz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Stadt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Zürich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am </w:t>
      </w:r>
      <w:proofErr w:type="gramStart"/>
      <w:r>
        <w:rPr>
          <w:rFonts w:ascii="Theinhardt Regular" w:hAnsi="Theinhardt Regular"/>
          <w:color w:val="231F20"/>
          <w:spacing w:val="-1"/>
          <w:sz w:val="14"/>
        </w:rPr>
        <w:t>13.Juli</w:t>
      </w:r>
      <w:proofErr w:type="gramEnd"/>
      <w:r>
        <w:rPr>
          <w:rFonts w:ascii="Theinhardt Regular" w:hAnsi="Theinhardt Regular"/>
          <w:color w:val="231F20"/>
          <w:spacing w:val="-1"/>
          <w:sz w:val="14"/>
        </w:rPr>
        <w:t>.2021</w:t>
      </w:r>
      <w:r>
        <w:rPr>
          <w:rFonts w:ascii="Theinhardt Regular" w:hAnsi="Theinhardt Regular"/>
          <w:color w:val="231F20"/>
          <w:spacing w:val="4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Ulli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Franz,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58 </w:t>
      </w:r>
      <w:r>
        <w:rPr>
          <w:rFonts w:ascii="Theinhardt Regular" w:hAnsi="Theinhardt Regular"/>
          <w:color w:val="231F20"/>
          <w:spacing w:val="-4"/>
          <w:sz w:val="14"/>
        </w:rPr>
        <w:t>319</w:t>
      </w:r>
      <w:r>
        <w:rPr>
          <w:rFonts w:ascii="Theinhardt Regular" w:hAnsi="Theinhardt Regular"/>
          <w:color w:val="231F20"/>
          <w:sz w:val="14"/>
        </w:rPr>
        <w:t xml:space="preserve"> 46 </w:t>
      </w:r>
      <w:r>
        <w:rPr>
          <w:rFonts w:ascii="Theinhardt Regular" w:hAnsi="Theinhardt Regular"/>
          <w:color w:val="231F20"/>
          <w:spacing w:val="-1"/>
          <w:sz w:val="14"/>
        </w:rPr>
        <w:t>62</w:t>
      </w:r>
    </w:p>
    <w:p w14:paraId="275BFE97" w14:textId="77777777" w:rsidR="00D12924" w:rsidRDefault="00D91C6D">
      <w:pPr>
        <w:spacing w:before="49"/>
        <w:ind w:left="110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0F42A9FF" w14:textId="77777777" w:rsidR="00D12924" w:rsidRDefault="00D12924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0B805107" w14:textId="77777777" w:rsidR="00D12924" w:rsidRDefault="00D91C6D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718CE06A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54B129E9" w14:textId="77777777" w:rsidR="00D12924" w:rsidRDefault="00D91C6D">
      <w:pPr>
        <w:spacing w:before="20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</w:t>
      </w:r>
    </w:p>
    <w:p w14:paraId="2BA19FDB" w14:textId="77777777" w:rsidR="00D12924" w:rsidRDefault="00D91C6D">
      <w:pPr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3"/>
          <w:sz w:val="14"/>
        </w:rPr>
        <w:t>Martastrasse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100,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8004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727E6C5F" w14:textId="77777777" w:rsidR="00D12924" w:rsidRDefault="00D91C6D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</w:p>
    <w:p w14:paraId="77107437" w14:textId="77777777" w:rsidR="00D12924" w:rsidRDefault="00D91C6D">
      <w:pPr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Katharina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Kofmel,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8806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Bäch</w:t>
      </w:r>
    </w:p>
    <w:p w14:paraId="4D475DFC" w14:textId="77777777" w:rsidR="00D12924" w:rsidRDefault="00D91C6D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45ED7E10" w14:textId="77777777" w:rsidR="00D12924" w:rsidRDefault="00D91C6D">
      <w:pPr>
        <w:spacing w:before="6" w:line="207" w:lineRule="auto"/>
        <w:ind w:left="110" w:right="21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 xml:space="preserve">Vera </w:t>
      </w:r>
      <w:r>
        <w:rPr>
          <w:rFonts w:ascii="Theinhardt Regular" w:hAnsi="Theinhardt Regular"/>
          <w:color w:val="231F20"/>
          <w:spacing w:val="1"/>
          <w:sz w:val="14"/>
        </w:rPr>
        <w:t>Gloor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2"/>
          <w:sz w:val="14"/>
        </w:rPr>
        <w:t>Krönleinstrasse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27,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8044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Guido</w:t>
      </w:r>
      <w:r>
        <w:rPr>
          <w:rFonts w:ascii="Theinhardt Regular" w:hAnsi="Theinhardt Regular"/>
          <w:color w:val="231F20"/>
          <w:sz w:val="14"/>
        </w:rPr>
        <w:t xml:space="preserve"> Honegger,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r>
        <w:rPr>
          <w:rFonts w:ascii="Theinhardt Regular" w:hAnsi="Theinhardt Regular"/>
          <w:color w:val="231F20"/>
          <w:sz w:val="14"/>
        </w:rPr>
        <w:t xml:space="preserve"> 268 33 </w:t>
      </w:r>
      <w:r>
        <w:rPr>
          <w:rFonts w:ascii="Theinhardt Regular" w:hAnsi="Theinhardt Regular"/>
          <w:color w:val="231F20"/>
          <w:spacing w:val="-7"/>
          <w:sz w:val="14"/>
        </w:rPr>
        <w:t>11</w:t>
      </w:r>
    </w:p>
    <w:p w14:paraId="430A0CC5" w14:textId="77777777" w:rsidR="00D12924" w:rsidRDefault="00D91C6D">
      <w:pPr>
        <w:spacing w:before="38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Fotovoltaik</w:t>
      </w:r>
    </w:p>
    <w:p w14:paraId="7398BD0D" w14:textId="77777777" w:rsidR="00D12924" w:rsidRDefault="00D91C6D">
      <w:pPr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Solvatec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Bordeaux-Strasse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5,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4053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Basel</w:t>
      </w:r>
    </w:p>
    <w:p w14:paraId="4599939C" w14:textId="77777777" w:rsidR="00D12924" w:rsidRDefault="00D91C6D">
      <w:pPr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Dominik</w:t>
      </w:r>
      <w:r>
        <w:rPr>
          <w:rFonts w:ascii="Theinhardt Regular" w:hAnsi="Theinhardt Regular"/>
          <w:color w:val="231F20"/>
          <w:sz w:val="14"/>
        </w:rPr>
        <w:t xml:space="preserve"> Müller,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61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690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90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</w:p>
    <w:p w14:paraId="2FC09320" w14:textId="77777777" w:rsidR="00D12924" w:rsidRDefault="00D91C6D">
      <w:pPr>
        <w:spacing w:before="32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Holzbau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Bedachung</w:t>
      </w:r>
    </w:p>
    <w:p w14:paraId="09D90919" w14:textId="77777777" w:rsidR="00D12924" w:rsidRDefault="00D91C6D">
      <w:pPr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Gisin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Moosmatt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4426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Lauwil</w:t>
      </w:r>
    </w:p>
    <w:p w14:paraId="663EA8B8" w14:textId="77777777" w:rsidR="00D12924" w:rsidRDefault="00D91C6D">
      <w:pPr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 xml:space="preserve"> 985 99 55</w:t>
      </w:r>
    </w:p>
    <w:p w14:paraId="0CDB943B" w14:textId="77777777" w:rsidR="00D12924" w:rsidRDefault="00D12924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5ED258CC" w14:textId="77777777" w:rsidR="00D12924" w:rsidRDefault="00D91C6D">
      <w:pPr>
        <w:spacing w:line="20" w:lineRule="atLeast"/>
        <w:ind w:left="11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0802C84C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6A5813F" w14:textId="77777777" w:rsidR="00D12924" w:rsidRDefault="00D12924">
      <w:pPr>
        <w:spacing w:before="6"/>
        <w:rPr>
          <w:rFonts w:ascii="Theinhardt Regular" w:eastAsia="Theinhardt Regular" w:hAnsi="Theinhardt Regular" w:cs="Theinhardt Regular"/>
          <w:sz w:val="28"/>
          <w:szCs w:val="28"/>
        </w:rPr>
      </w:pPr>
    </w:p>
    <w:p w14:paraId="565C2062" w14:textId="77777777" w:rsidR="00D12924" w:rsidRDefault="00D91C6D">
      <w:pPr>
        <w:spacing w:line="200" w:lineRule="atLeast"/>
        <w:ind w:left="116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6DCAC78D" wp14:editId="1756520E">
            <wp:extent cx="2126903" cy="14599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903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328EB" w14:textId="77777777" w:rsidR="00D12924" w:rsidRDefault="00D91C6D">
      <w:pPr>
        <w:spacing w:before="13"/>
        <w:ind w:left="11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</w:r>
    </w:p>
    <w:p w14:paraId="3C5586A1" w14:textId="77777777" w:rsidR="00D12924" w:rsidRDefault="00D12924">
      <w:pPr>
        <w:jc w:val="both"/>
        <w:rPr>
          <w:rFonts w:ascii="Theinhardt Bold" w:eastAsia="Theinhardt Bold" w:hAnsi="Theinhardt Bold" w:cs="Theinhardt Bold"/>
          <w:sz w:val="14"/>
          <w:szCs w:val="14"/>
        </w:rPr>
        <w:sectPr w:rsidR="00D12924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67" w:space="105"/>
            <w:col w:w="3456" w:space="110"/>
            <w:col w:w="3592"/>
          </w:cols>
        </w:sectPr>
      </w:pPr>
    </w:p>
    <w:p w14:paraId="381A9E5D" w14:textId="77777777" w:rsidR="00D12924" w:rsidRDefault="00D12924">
      <w:pPr>
        <w:spacing w:before="11"/>
        <w:rPr>
          <w:rFonts w:ascii="Theinhardt Bold" w:eastAsia="Theinhardt Bold" w:hAnsi="Theinhardt Bold" w:cs="Theinhardt Bold"/>
          <w:b/>
          <w:bCs/>
          <w:sz w:val="10"/>
          <w:szCs w:val="10"/>
        </w:rPr>
      </w:pPr>
    </w:p>
    <w:p w14:paraId="703A2163" w14:textId="77777777" w:rsidR="00D12924" w:rsidRDefault="00D91C6D">
      <w:pPr>
        <w:numPr>
          <w:ilvl w:val="0"/>
          <w:numId w:val="1"/>
        </w:numPr>
        <w:tabs>
          <w:tab w:val="left" w:pos="338"/>
        </w:tabs>
        <w:spacing w:line="172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Gebäude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emittierte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vor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Sanierung</w:t>
      </w:r>
      <w:r>
        <w:rPr>
          <w:rFonts w:ascii="Theinhardt Bold" w:hAnsi="Theinhardt Bold"/>
          <w:b/>
          <w:color w:val="231F20"/>
          <w:spacing w:val="1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rund</w:t>
      </w:r>
    </w:p>
    <w:p w14:paraId="011FB75F" w14:textId="77777777" w:rsidR="00D12924" w:rsidRDefault="00D91C6D">
      <w:pPr>
        <w:spacing w:before="22" w:line="179" w:lineRule="auto"/>
        <w:ind w:left="337" w:hanging="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46.5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t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CO</w:t>
      </w:r>
      <w:r>
        <w:rPr>
          <w:rFonts w:ascii="Theinhardt Bold" w:hAnsi="Theinhardt Bold"/>
          <w:b/>
          <w:color w:val="231F20"/>
          <w:spacing w:val="-1"/>
          <w:position w:val="-4"/>
          <w:sz w:val="8"/>
        </w:rPr>
        <w:t>2</w:t>
      </w:r>
      <w:r>
        <w:rPr>
          <w:rFonts w:ascii="Theinhardt Bold" w:hAnsi="Theinhardt Bold"/>
          <w:b/>
          <w:color w:val="231F20"/>
          <w:spacing w:val="-1"/>
          <w:sz w:val="14"/>
        </w:rPr>
        <w:t>-Emissionen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konnte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nur</w:t>
      </w:r>
      <w:r>
        <w:rPr>
          <w:rFonts w:ascii="Theinhardt Bold" w:hAnsi="Theinhardt Bold"/>
          <w:b/>
          <w:color w:val="231F20"/>
          <w:spacing w:val="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hofseitig</w:t>
      </w:r>
      <w:r>
        <w:rPr>
          <w:rFonts w:ascii="Theinhardt Bold" w:hAnsi="Theinhardt Bold"/>
          <w:b/>
          <w:color w:val="231F20"/>
          <w:spacing w:val="4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gedämmt </w:t>
      </w:r>
      <w:r>
        <w:rPr>
          <w:rFonts w:ascii="Theinhardt Bold" w:hAnsi="Theinhardt Bold"/>
          <w:b/>
          <w:color w:val="231F20"/>
          <w:spacing w:val="-1"/>
          <w:sz w:val="14"/>
        </w:rPr>
        <w:t>werden.</w:t>
      </w:r>
    </w:p>
    <w:p w14:paraId="38CA7A46" w14:textId="77777777" w:rsidR="00D12924" w:rsidRDefault="00D91C6D">
      <w:pPr>
        <w:spacing w:before="3"/>
        <w:rPr>
          <w:rFonts w:ascii="Theinhardt Bold" w:eastAsia="Theinhardt Bold" w:hAnsi="Theinhardt Bold" w:cs="Theinhardt Bold"/>
          <w:b/>
          <w:bCs/>
          <w:sz w:val="12"/>
          <w:szCs w:val="12"/>
        </w:rPr>
      </w:pPr>
      <w:r>
        <w:br w:type="column"/>
      </w:r>
    </w:p>
    <w:p w14:paraId="4AC1A333" w14:textId="77777777" w:rsidR="00D12924" w:rsidRDefault="00D91C6D">
      <w:pPr>
        <w:numPr>
          <w:ilvl w:val="0"/>
          <w:numId w:val="1"/>
        </w:numPr>
        <w:tabs>
          <w:tab w:val="left" w:pos="338"/>
        </w:tabs>
        <w:spacing w:line="207" w:lineRule="auto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sanierte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MFH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Kofmel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mit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PV-Dachanlage.</w:t>
      </w:r>
      <w:r>
        <w:rPr>
          <w:rFonts w:ascii="Theinhardt Bold" w:hAnsi="Theinhardt Bold"/>
          <w:b/>
          <w:color w:val="231F20"/>
          <w:spacing w:val="4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1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durch</w:t>
      </w:r>
      <w:r>
        <w:rPr>
          <w:rFonts w:ascii="Theinhardt Bold" w:hAnsi="Theinhardt Bold"/>
          <w:b/>
          <w:color w:val="231F20"/>
          <w:spacing w:val="1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pacing w:val="1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Denkmalpflege</w:t>
      </w:r>
      <w:r>
        <w:rPr>
          <w:rFonts w:ascii="Theinhardt Bold" w:hAnsi="Theinhardt Bold"/>
          <w:b/>
          <w:color w:val="231F20"/>
          <w:spacing w:val="1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verhinderte</w:t>
      </w:r>
      <w:r>
        <w:rPr>
          <w:rFonts w:ascii="Theinhardt Bold" w:hAnsi="Theinhardt Bold"/>
          <w:b/>
          <w:color w:val="231F20"/>
          <w:spacing w:val="1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Däm-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mung </w:t>
      </w:r>
      <w:r>
        <w:rPr>
          <w:rFonts w:ascii="Theinhardt Bold" w:hAnsi="Theinhardt Bold"/>
          <w:b/>
          <w:color w:val="231F20"/>
          <w:spacing w:val="-1"/>
          <w:sz w:val="14"/>
        </w:rPr>
        <w:t>verursacht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jährlich</w:t>
      </w:r>
      <w:r>
        <w:rPr>
          <w:rFonts w:ascii="Theinhardt Bold" w:hAnsi="Theinhardt Bold"/>
          <w:b/>
          <w:color w:val="231F20"/>
          <w:sz w:val="14"/>
        </w:rPr>
        <w:t xml:space="preserve"> rund 10 t mehr </w:t>
      </w:r>
      <w:r>
        <w:rPr>
          <w:rFonts w:ascii="Theinhardt Bold" w:hAnsi="Theinhardt Bold"/>
          <w:b/>
          <w:color w:val="231F20"/>
          <w:spacing w:val="-1"/>
          <w:sz w:val="14"/>
        </w:rPr>
        <w:t>CO</w:t>
      </w:r>
      <w:r>
        <w:rPr>
          <w:rFonts w:ascii="Theinhardt Bold" w:hAnsi="Theinhardt Bold"/>
          <w:b/>
          <w:color w:val="231F20"/>
          <w:spacing w:val="-1"/>
          <w:position w:val="-4"/>
          <w:sz w:val="8"/>
        </w:rPr>
        <w:t>2</w:t>
      </w:r>
      <w:r>
        <w:rPr>
          <w:rFonts w:ascii="Theinhardt Bold" w:hAnsi="Theinhardt Bold"/>
          <w:b/>
          <w:color w:val="231F20"/>
          <w:spacing w:val="-1"/>
          <w:sz w:val="14"/>
        </w:rPr>
        <w:t>.</w:t>
      </w:r>
    </w:p>
    <w:p w14:paraId="019EC3AF" w14:textId="77777777" w:rsidR="00D12924" w:rsidRDefault="00D91C6D">
      <w:pPr>
        <w:spacing w:before="3"/>
        <w:rPr>
          <w:rFonts w:ascii="Theinhardt Bold" w:eastAsia="Theinhardt Bold" w:hAnsi="Theinhardt Bold" w:cs="Theinhardt Bold"/>
          <w:b/>
          <w:bCs/>
          <w:sz w:val="12"/>
          <w:szCs w:val="12"/>
        </w:rPr>
      </w:pPr>
      <w:r>
        <w:br w:type="column"/>
      </w:r>
    </w:p>
    <w:p w14:paraId="42C5B01F" w14:textId="77777777" w:rsidR="00D12924" w:rsidRDefault="00D91C6D">
      <w:pPr>
        <w:numPr>
          <w:ilvl w:val="0"/>
          <w:numId w:val="1"/>
        </w:numPr>
        <w:tabs>
          <w:tab w:val="left" w:pos="338"/>
        </w:tabs>
        <w:spacing w:line="207" w:lineRule="auto"/>
        <w:ind w:right="138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</w:t>
      </w:r>
      <w:r>
        <w:rPr>
          <w:rFonts w:ascii="Theinhardt Bold" w:hAnsi="Theinhardt Bold"/>
          <w:b/>
          <w:color w:val="231F20"/>
          <w:spacing w:val="2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aufgestockte</w:t>
      </w:r>
      <w:r>
        <w:rPr>
          <w:rFonts w:ascii="Theinhardt Bold" w:hAnsi="Theinhardt Bold"/>
          <w:b/>
          <w:color w:val="231F20"/>
          <w:spacing w:val="2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MFH</w:t>
      </w:r>
      <w:r>
        <w:rPr>
          <w:rFonts w:ascii="Theinhardt Bold" w:hAnsi="Theinhardt Bold"/>
          <w:b/>
          <w:color w:val="231F20"/>
          <w:spacing w:val="2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mit</w:t>
      </w:r>
      <w:r>
        <w:rPr>
          <w:rFonts w:ascii="Theinhardt Bold" w:hAnsi="Theinhardt Bold"/>
          <w:b/>
          <w:color w:val="231F20"/>
          <w:spacing w:val="2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12</w:t>
      </w:r>
      <w:r>
        <w:rPr>
          <w:rFonts w:ascii="Theinhardt Bold" w:hAnsi="Theinhardt Bold"/>
          <w:b/>
          <w:color w:val="231F20"/>
          <w:spacing w:val="2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Wohnungen</w:t>
      </w:r>
      <w:r>
        <w:rPr>
          <w:rFonts w:ascii="Theinhardt Bold" w:hAnsi="Theinhardt Bold"/>
          <w:b/>
          <w:color w:val="231F20"/>
          <w:spacing w:val="2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3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ganzflächig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integrierten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13.9</w:t>
      </w:r>
      <w:r>
        <w:rPr>
          <w:rFonts w:ascii="Theinhardt Bold" w:hAnsi="Theinhardt Bold"/>
          <w:b/>
          <w:color w:val="231F20"/>
          <w:spacing w:val="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kW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PV-Anlage</w:t>
      </w:r>
      <w:r>
        <w:rPr>
          <w:rFonts w:ascii="Theinhardt Bold" w:hAnsi="Theinhardt Bold"/>
          <w:b/>
          <w:color w:val="231F20"/>
          <w:spacing w:val="2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emittiert immer noch ca.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24.5 t </w:t>
      </w:r>
      <w:r>
        <w:rPr>
          <w:rFonts w:ascii="Theinhardt Bold" w:hAnsi="Theinhardt Bold"/>
          <w:b/>
          <w:color w:val="231F20"/>
          <w:spacing w:val="-1"/>
          <w:sz w:val="14"/>
        </w:rPr>
        <w:t>CO</w:t>
      </w:r>
      <w:r>
        <w:rPr>
          <w:rFonts w:ascii="Theinhardt Bold" w:hAnsi="Theinhardt Bold"/>
          <w:b/>
          <w:color w:val="231F20"/>
          <w:spacing w:val="-1"/>
          <w:position w:val="-4"/>
          <w:sz w:val="8"/>
        </w:rPr>
        <w:t>2</w:t>
      </w:r>
      <w:r>
        <w:rPr>
          <w:rFonts w:ascii="Theinhardt Bold" w:hAnsi="Theinhardt Bold"/>
          <w:b/>
          <w:color w:val="231F20"/>
          <w:spacing w:val="-1"/>
          <w:sz w:val="14"/>
        </w:rPr>
        <w:t>-Emissionen.</w:t>
      </w:r>
    </w:p>
    <w:p w14:paraId="35025ACC" w14:textId="77777777" w:rsidR="00D12924" w:rsidRDefault="00D12924">
      <w:pPr>
        <w:spacing w:line="207" w:lineRule="auto"/>
        <w:jc w:val="both"/>
        <w:rPr>
          <w:rFonts w:ascii="Theinhardt Bold" w:eastAsia="Theinhardt Bold" w:hAnsi="Theinhardt Bold" w:cs="Theinhardt Bold"/>
          <w:sz w:val="14"/>
          <w:szCs w:val="14"/>
        </w:rPr>
        <w:sectPr w:rsidR="00D12924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51" w:space="121"/>
            <w:col w:w="3448" w:space="123"/>
            <w:col w:w="3587"/>
          </w:cols>
        </w:sectPr>
      </w:pPr>
    </w:p>
    <w:p w14:paraId="366218A1" w14:textId="77777777" w:rsidR="00D12924" w:rsidRDefault="00D12924">
      <w:pPr>
        <w:spacing w:before="8"/>
        <w:rPr>
          <w:rFonts w:ascii="Theinhardt Bold" w:eastAsia="Theinhardt Bold" w:hAnsi="Theinhardt Bold" w:cs="Theinhardt Bold"/>
          <w:b/>
          <w:bCs/>
          <w:sz w:val="21"/>
          <w:szCs w:val="21"/>
        </w:rPr>
      </w:pPr>
    </w:p>
    <w:p w14:paraId="6C57AE21" w14:textId="77777777" w:rsidR="00D12924" w:rsidRDefault="00D91C6D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75</w:t>
      </w:r>
    </w:p>
    <w:sectPr w:rsidR="00D12924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E0B"/>
    <w:multiLevelType w:val="hybridMultilevel"/>
    <w:tmpl w:val="7BD89774"/>
    <w:lvl w:ilvl="0" w:tplc="AB9AE74E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49AEE8FA">
      <w:start w:val="1"/>
      <w:numFmt w:val="bullet"/>
      <w:lvlText w:val="•"/>
      <w:lvlJc w:val="left"/>
      <w:pPr>
        <w:ind w:left="648" w:hanging="227"/>
      </w:pPr>
      <w:rPr>
        <w:rFonts w:hint="default"/>
      </w:rPr>
    </w:lvl>
    <w:lvl w:ilvl="2" w:tplc="48DA4E8E">
      <w:start w:val="1"/>
      <w:numFmt w:val="bullet"/>
      <w:lvlText w:val="•"/>
      <w:lvlJc w:val="left"/>
      <w:pPr>
        <w:ind w:left="959" w:hanging="227"/>
      </w:pPr>
      <w:rPr>
        <w:rFonts w:hint="default"/>
      </w:rPr>
    </w:lvl>
    <w:lvl w:ilvl="3" w:tplc="EBACD83A">
      <w:start w:val="1"/>
      <w:numFmt w:val="bullet"/>
      <w:lvlText w:val="•"/>
      <w:lvlJc w:val="left"/>
      <w:pPr>
        <w:ind w:left="1271" w:hanging="227"/>
      </w:pPr>
      <w:rPr>
        <w:rFonts w:hint="default"/>
      </w:rPr>
    </w:lvl>
    <w:lvl w:ilvl="4" w:tplc="B5BA410E">
      <w:start w:val="1"/>
      <w:numFmt w:val="bullet"/>
      <w:lvlText w:val="•"/>
      <w:lvlJc w:val="left"/>
      <w:pPr>
        <w:ind w:left="1582" w:hanging="227"/>
      </w:pPr>
      <w:rPr>
        <w:rFonts w:hint="default"/>
      </w:rPr>
    </w:lvl>
    <w:lvl w:ilvl="5" w:tplc="1F6CE82A">
      <w:start w:val="1"/>
      <w:numFmt w:val="bullet"/>
      <w:lvlText w:val="•"/>
      <w:lvlJc w:val="left"/>
      <w:pPr>
        <w:ind w:left="1893" w:hanging="227"/>
      </w:pPr>
      <w:rPr>
        <w:rFonts w:hint="default"/>
      </w:rPr>
    </w:lvl>
    <w:lvl w:ilvl="6" w:tplc="1422BC92">
      <w:start w:val="1"/>
      <w:numFmt w:val="bullet"/>
      <w:lvlText w:val="•"/>
      <w:lvlJc w:val="left"/>
      <w:pPr>
        <w:ind w:left="2205" w:hanging="227"/>
      </w:pPr>
      <w:rPr>
        <w:rFonts w:hint="default"/>
      </w:rPr>
    </w:lvl>
    <w:lvl w:ilvl="7" w:tplc="9FBA1E6A">
      <w:start w:val="1"/>
      <w:numFmt w:val="bullet"/>
      <w:lvlText w:val="•"/>
      <w:lvlJc w:val="left"/>
      <w:pPr>
        <w:ind w:left="2516" w:hanging="227"/>
      </w:pPr>
      <w:rPr>
        <w:rFonts w:hint="default"/>
      </w:rPr>
    </w:lvl>
    <w:lvl w:ilvl="8" w:tplc="51188C26">
      <w:start w:val="1"/>
      <w:numFmt w:val="bullet"/>
      <w:lvlText w:val="•"/>
      <w:lvlJc w:val="left"/>
      <w:pPr>
        <w:ind w:left="282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924"/>
    <w:rsid w:val="00D12924"/>
    <w:rsid w:val="00D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4:docId w14:val="5C406DD0"/>
  <w15:docId w15:val="{3791488D-BB9C-4685-8197-E8A6FC8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2021-10-19T13:38:00Z</dcterms:created>
  <dcterms:modified xsi:type="dcterms:W3CDTF">2021-10-19T11:38:00Z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