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66A6" w14:textId="77777777" w:rsidR="000278AC" w:rsidRDefault="00FA2BB2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1B410B73">
          <v:group id="_x0000_s1047" style="position:absolute;left:0;text-align:left;margin-left:28.55pt;margin-top:13.65pt;width:.1pt;height:.1pt;z-index:-4912;mso-position-horizontal-relative:page" coordorigin="571,273" coordsize="2,2">
            <v:shape id="_x0000_s1048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2960FBAB">
          <v:group id="_x0000_s1045" style="position:absolute;left:0;text-align:left;margin-left:150.75pt;margin-top:13.65pt;width:.1pt;height:.1pt;z-index:1072;mso-position-horizontal-relative:page" coordorigin="3015,273" coordsize="2,2">
            <v:shape id="_x0000_s1046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08A38E24">
          <v:group id="_x0000_s1043" style="position:absolute;left:0;text-align:left;margin-left:28.55pt;margin-top:25.15pt;width:.1pt;height:.1pt;z-index:-4864;mso-position-horizontal-relative:page" coordorigin="571,503" coordsize="2,2">
            <v:shape id="_x0000_s1044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0590A557">
          <v:group id="_x0000_s1041" style="position:absolute;left:0;text-align:left;margin-left:150.75pt;margin-top:25.15pt;width:.1pt;height:.1pt;z-index:1120;mso-position-horizontal-relative:page" coordorigin="3015,503" coordsize="2,2">
            <v:shape id="_x0000_s1042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               </w:t>
      </w:r>
      <w:r>
        <w:rPr>
          <w:rFonts w:ascii="Theinhardt Heavy" w:hAnsi="Theinhardt Heavy"/>
          <w:b/>
          <w:color w:val="231F20"/>
          <w:spacing w:val="12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Neubauten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 xml:space="preserve"> 2021</w:t>
      </w:r>
    </w:p>
    <w:p w14:paraId="5AC09976" w14:textId="77777777" w:rsidR="000278AC" w:rsidRDefault="00FA2BB2">
      <w:pPr>
        <w:spacing w:before="28" w:line="230" w:lineRule="exact"/>
        <w:ind w:left="106" w:right="101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 Mehrfamilienhaus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 Steffisburg/BE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 2020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fertiggestellt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 beherbergt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14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Wohnun-</w:t>
      </w:r>
      <w:r>
        <w:rPr>
          <w:rFonts w:ascii="Theinhardt Bold" w:eastAsia="Theinhardt Bold" w:hAnsi="Theinhardt Bold" w:cs="Theinhardt Bold"/>
          <w:b/>
          <w:bCs/>
          <w:color w:val="0C1C23"/>
          <w:spacing w:val="8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gen.</w:t>
      </w:r>
      <w:r>
        <w:rPr>
          <w:rFonts w:ascii="Theinhardt Bold" w:eastAsia="Theinhardt Bold" w:hAnsi="Theinhardt Bold" w:cs="Theinhardt Bold"/>
          <w:b/>
          <w:bCs/>
          <w:color w:val="0C1C23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Projekt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«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Wohnen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Plus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Energie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Plus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»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strebt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nachhaltiges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Miteinanderleben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6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Jung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Alt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Kombination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nachhaltigen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Energiekonzept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an.</w:t>
      </w:r>
      <w:r>
        <w:rPr>
          <w:rFonts w:ascii="Theinhardt Bold" w:eastAsia="Theinhardt Bold" w:hAnsi="Theinhardt Bold" w:cs="Theinhardt Bold"/>
          <w:b/>
          <w:bCs/>
          <w:color w:val="0C1C23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sehr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guter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Wärme-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dämmung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U-Werten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0.09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bis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0.115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W/m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K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Neubau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Gesamtenergiebedarf</w:t>
      </w:r>
      <w:r>
        <w:rPr>
          <w:rFonts w:ascii="Theinhardt Bold" w:eastAsia="Theinhardt Bold" w:hAnsi="Theinhardt Bold" w:cs="Theinhardt Bold"/>
          <w:b/>
          <w:bCs/>
          <w:color w:val="0C1C23"/>
          <w:spacing w:val="6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138’600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verfügt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über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69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PV-Anlage,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0C1C23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0C1C23"/>
          <w:spacing w:val="5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81’000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produziert.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115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position w:val="6"/>
          <w:sz w:val="10"/>
          <w:szCs w:val="10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grosse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solarthermische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liefert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34’500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6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Insgesamt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Mehrfamilienhaus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Eigenenergieversorgung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83%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auf.</w:t>
      </w:r>
    </w:p>
    <w:p w14:paraId="29CC35AF" w14:textId="77777777" w:rsidR="000278AC" w:rsidRDefault="000278AC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1A34510B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415DDFF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5F27906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AFE03A2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DDE305A" w14:textId="77777777" w:rsidR="000278AC" w:rsidRDefault="000278AC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6FF19FA5" w14:textId="77777777" w:rsidR="000278AC" w:rsidRDefault="00FA2BB2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w w:val="95"/>
          <w:sz w:val="40"/>
        </w:rPr>
        <w:t>83%</w:t>
      </w:r>
      <w:r>
        <w:rPr>
          <w:rFonts w:ascii="Theinhardt Black"/>
          <w:b/>
          <w:color w:val="0067B1"/>
          <w:spacing w:val="19"/>
          <w:w w:val="95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w w:val="95"/>
          <w:sz w:val="40"/>
        </w:rPr>
        <w:t>MFH</w:t>
      </w:r>
      <w:r>
        <w:rPr>
          <w:rFonts w:ascii="Theinhardt Black"/>
          <w:b/>
          <w:color w:val="0067B1"/>
          <w:spacing w:val="19"/>
          <w:w w:val="95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w w:val="95"/>
          <w:sz w:val="40"/>
        </w:rPr>
        <w:t>Stuckimatte</w:t>
      </w:r>
      <w:r>
        <w:rPr>
          <w:rFonts w:ascii="Theinhardt Black"/>
          <w:b/>
          <w:color w:val="0067B1"/>
          <w:spacing w:val="19"/>
          <w:w w:val="95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w w:val="95"/>
          <w:sz w:val="40"/>
        </w:rPr>
        <w:t>wohnenplus,</w:t>
      </w:r>
      <w:r>
        <w:rPr>
          <w:rFonts w:ascii="Theinhardt Black"/>
          <w:b/>
          <w:color w:val="0067B1"/>
          <w:spacing w:val="-12"/>
          <w:w w:val="95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w w:val="95"/>
          <w:sz w:val="40"/>
        </w:rPr>
        <w:t>3612</w:t>
      </w:r>
      <w:r>
        <w:rPr>
          <w:rFonts w:ascii="Theinhardt Black"/>
          <w:b/>
          <w:color w:val="0067B1"/>
          <w:spacing w:val="19"/>
          <w:w w:val="95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w w:val="95"/>
          <w:sz w:val="40"/>
        </w:rPr>
        <w:t>Stef</w:t>
      </w:r>
      <w:r>
        <w:rPr>
          <w:rFonts w:ascii="Theinhardt Black"/>
          <w:b/>
          <w:color w:val="0067B1"/>
          <w:spacing w:val="2"/>
          <w:w w:val="95"/>
          <w:sz w:val="40"/>
        </w:rPr>
        <w:t>fi</w:t>
      </w:r>
      <w:r>
        <w:rPr>
          <w:rFonts w:ascii="Theinhardt Black"/>
          <w:b/>
          <w:color w:val="0067B1"/>
          <w:spacing w:val="1"/>
          <w:w w:val="95"/>
          <w:sz w:val="40"/>
        </w:rPr>
        <w:t>sburg/BE</w:t>
      </w:r>
    </w:p>
    <w:p w14:paraId="23866A90" w14:textId="77777777" w:rsidR="000278AC" w:rsidRDefault="000278AC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76B2E642" w14:textId="77777777" w:rsidR="000278AC" w:rsidRDefault="000278AC">
      <w:pPr>
        <w:rPr>
          <w:rFonts w:ascii="Theinhardt Black" w:eastAsia="Theinhardt Black" w:hAnsi="Theinhardt Black" w:cs="Theinhardt Black"/>
          <w:sz w:val="23"/>
          <w:szCs w:val="23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48386AE9" w14:textId="77777777" w:rsidR="000278AC" w:rsidRDefault="00FA2BB2">
      <w:pPr>
        <w:pStyle w:val="berschrift1"/>
        <w:spacing w:before="52" w:line="230" w:lineRule="exact"/>
        <w:jc w:val="both"/>
      </w:pPr>
      <w:r>
        <w:rPr>
          <w:color w:val="231F20"/>
          <w:spacing w:val="-3"/>
        </w:rPr>
        <w:t>Auf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dem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Bleichareal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ehemaligen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Tuch-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  <w:spacing w:val="-3"/>
        </w:rPr>
        <w:t>fabrik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Stucki’s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Söhne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AG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Steffi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g/BE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  <w:spacing w:val="-3"/>
        </w:rPr>
        <w:t>entstand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2020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Neubau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Stuckimatte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woh-</w:t>
      </w:r>
      <w:r>
        <w:rPr>
          <w:color w:val="231F20"/>
          <w:spacing w:val="51"/>
          <w:w w:val="96"/>
        </w:rPr>
        <w:t xml:space="preserve"> </w:t>
      </w:r>
      <w:r>
        <w:rPr>
          <w:color w:val="231F20"/>
          <w:spacing w:val="-3"/>
        </w:rPr>
        <w:t>nenplus.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Mehrfamilienhaus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zeichnet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sich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4"/>
        </w:rPr>
        <w:t>durch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eine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nachhaltige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Bauweise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wie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auch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4"/>
        </w:rPr>
        <w:t>durch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modernes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Wohnkonzept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aus.</w:t>
      </w:r>
    </w:p>
    <w:p w14:paraId="376A4D14" w14:textId="77777777" w:rsidR="000278AC" w:rsidRDefault="00FA2BB2">
      <w:pPr>
        <w:tabs>
          <w:tab w:val="left" w:pos="2127"/>
        </w:tabs>
        <w:spacing w:line="230" w:lineRule="exact"/>
        <w:ind w:left="106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Dank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ausgezeichneten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Dämmung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U-Werten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zwischen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0.094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0.115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>W/m</w:t>
      </w:r>
      <w:r>
        <w:rPr>
          <w:rFonts w:ascii="Theinhardt Regular" w:eastAsia="Theinhardt Regular" w:hAnsi="Theinhardt Regular" w:cs="Theinhardt Regular"/>
          <w:color w:val="231F20"/>
          <w:spacing w:val="-6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>K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energieeffi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ab/>
        <w:t>Haushaltsgeräten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benötigt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Mehrfamilienhaus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insgesamt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138’600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kWh/a.</w:t>
      </w:r>
      <w:r>
        <w:rPr>
          <w:rFonts w:ascii="Theinhardt Regular" w:eastAsia="Theinhardt Regular" w:hAnsi="Theinhardt Regular" w:cs="Theinhardt Regular"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69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starke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PV-Anlage</w:t>
      </w:r>
      <w:r>
        <w:rPr>
          <w:rFonts w:ascii="Theinhardt Regular" w:eastAsia="Theinhardt Regular" w:hAnsi="Theinhardt Regular" w:cs="Theinhardt Regular"/>
          <w:color w:val="231F20"/>
          <w:spacing w:val="25"/>
          <w:w w:val="9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erzeugt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jährlich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81’000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kWh.</w:t>
      </w:r>
      <w:r>
        <w:rPr>
          <w:rFonts w:ascii="Theinhardt Regular" w:eastAsia="Theinhardt Regular" w:hAnsi="Theinhardt Regular" w:cs="Theinhardt Regular"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Zusammen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115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grossen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solarthermischen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Anlage</w:t>
      </w:r>
      <w:r>
        <w:rPr>
          <w:rFonts w:ascii="Theinhardt Regular" w:eastAsia="Theinhardt Regular" w:hAnsi="Theinhardt Regular" w:cs="Theinhardt Regular"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weist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Neubau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eine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Eigenenergieversor-</w:t>
      </w:r>
      <w:r>
        <w:rPr>
          <w:rFonts w:ascii="Theinhardt Regular" w:eastAsia="Theinhardt Regular" w:hAnsi="Theinhardt Regular" w:cs="Theinhardt Regular"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gung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115’500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oder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83%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auf.</w:t>
      </w:r>
      <w:r>
        <w:rPr>
          <w:rFonts w:ascii="Theinhardt Regular" w:eastAsia="Theinhardt Regular" w:hAnsi="Theinhardt Regular" w:cs="Theinhardt Regular"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Mit</w:t>
      </w:r>
    </w:p>
    <w:p w14:paraId="041BC958" w14:textId="77777777" w:rsidR="000278AC" w:rsidRDefault="00FA2BB2">
      <w:pPr>
        <w:pStyle w:val="Textkrper"/>
        <w:spacing w:before="52" w:line="230" w:lineRule="exact"/>
        <w:ind w:left="107" w:right="4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4"/>
        </w:rPr>
        <w:t>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nouvel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immeuble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«Stuckimatte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wohnen-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plus»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été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érigé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2020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site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blan-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chiment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l’ancienne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usine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tissus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Stucki's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Söhne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  <w:spacing w:val="-2"/>
        </w:rPr>
        <w:t>Steffi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(BE).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distingue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une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construction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attrayante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durable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alli-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ée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 xml:space="preserve"> concept </w:t>
      </w:r>
      <w:r>
        <w:rPr>
          <w:color w:val="231F20"/>
          <w:spacing w:val="-2"/>
        </w:rPr>
        <w:t>d’habitation</w:t>
      </w:r>
      <w:r>
        <w:rPr>
          <w:color w:val="231F20"/>
          <w:spacing w:val="-4"/>
        </w:rPr>
        <w:t xml:space="preserve"> moderne.</w:t>
      </w:r>
    </w:p>
    <w:p w14:paraId="3907D69D" w14:textId="77777777" w:rsidR="000278AC" w:rsidRDefault="00FA2BB2">
      <w:pPr>
        <w:pStyle w:val="Textkrper"/>
        <w:spacing w:before="15" w:line="232" w:lineRule="auto"/>
        <w:ind w:firstLine="226"/>
        <w:jc w:val="both"/>
        <w:rPr>
          <w:i w:val="0"/>
        </w:rPr>
      </w:pPr>
      <w:r>
        <w:rPr>
          <w:color w:val="231F20"/>
          <w:spacing w:val="-2"/>
        </w:rPr>
        <w:t>Grâce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une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excellente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isolation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avec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des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valeurs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allant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0,09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0,115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l’électroménager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efficient,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con-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somme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138’600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kWh/a.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L’installation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69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kWc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génère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81’000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kWh/a,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aux-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quels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s’ajoutent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les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34’500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kWh/a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issus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système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solaire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thermique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115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Avec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115’500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 xml:space="preserve">kWh/a, </w:t>
      </w:r>
      <w:r>
        <w:rPr>
          <w:color w:val="231F20"/>
          <w:spacing w:val="-3"/>
        </w:rPr>
        <w:t>l’autoproduction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atteint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83%.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transformer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ce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bâtiment,</w:t>
      </w:r>
    </w:p>
    <w:p w14:paraId="7CC10DDD" w14:textId="77777777" w:rsidR="000278AC" w:rsidRDefault="00FA2BB2">
      <w:pPr>
        <w:spacing w:before="80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383638"/>
          <w:sz w:val="14"/>
        </w:rPr>
        <w:t xml:space="preserve">Technische </w:t>
      </w:r>
      <w:r>
        <w:rPr>
          <w:rFonts w:ascii="Theinhardt Black"/>
          <w:b/>
          <w:color w:val="383638"/>
          <w:spacing w:val="1"/>
          <w:sz w:val="14"/>
        </w:rPr>
        <w:t>Daten</w:t>
      </w:r>
    </w:p>
    <w:p w14:paraId="153DC668" w14:textId="77777777" w:rsidR="000278AC" w:rsidRDefault="000278AC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DF145A4" w14:textId="77777777" w:rsidR="000278AC" w:rsidRDefault="00FA2BB2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0B698FD1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383638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383638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383638" strokeweight=".14994mm">
                <v:path arrowok="t"/>
              </v:shape>
            </v:group>
            <w10:anchorlock/>
          </v:group>
        </w:pict>
      </w:r>
    </w:p>
    <w:p w14:paraId="2C0997D2" w14:textId="77777777" w:rsidR="000278AC" w:rsidRDefault="00FA2BB2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071214DB" w14:textId="77777777" w:rsidR="000278AC" w:rsidRDefault="00FA2BB2">
      <w:pPr>
        <w:tabs>
          <w:tab w:val="left" w:pos="1190"/>
          <w:tab w:val="left" w:pos="1788"/>
          <w:tab w:val="left" w:pos="2592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34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7"/>
          <w:sz w:val="14"/>
        </w:rPr>
        <w:t>0.115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BB6C68F" w14:textId="77777777" w:rsidR="000278AC" w:rsidRDefault="00FA2BB2">
      <w:pPr>
        <w:tabs>
          <w:tab w:val="left" w:pos="1193"/>
          <w:tab w:val="left" w:pos="1788"/>
          <w:tab w:val="left" w:pos="2557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0.094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DEC5436" w14:textId="77777777" w:rsidR="000278AC" w:rsidRDefault="00FA2BB2">
      <w:pPr>
        <w:tabs>
          <w:tab w:val="left" w:pos="1075"/>
          <w:tab w:val="left" w:pos="1788"/>
          <w:tab w:val="left" w:pos="2626"/>
        </w:tabs>
        <w:spacing w:before="5" w:line="207" w:lineRule="auto"/>
        <w:ind w:left="106" w:right="15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</w:t>
      </w:r>
      <w:proofErr w:type="gramStart"/>
      <w:r>
        <w:rPr>
          <w:rFonts w:ascii="Theinhardt Regular"/>
          <w:color w:val="231F20"/>
          <w:spacing w:val="-5"/>
          <w:sz w:val="14"/>
        </w:rPr>
        <w:t>14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-2"/>
          <w:sz w:val="14"/>
        </w:rPr>
        <w:t>W</w:t>
      </w:r>
      <w:proofErr w:type="gramEnd"/>
      <w:r>
        <w:rPr>
          <w:rFonts w:ascii="Theinhardt Regular"/>
          <w:color w:val="231F20"/>
          <w:spacing w:val="-2"/>
          <w:sz w:val="14"/>
        </w:rPr>
        <w:t>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0.8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3E67638C" w14:textId="77777777" w:rsidR="000278AC" w:rsidRDefault="00FA2BB2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1F62DA16" w14:textId="77777777" w:rsidR="000278AC" w:rsidRDefault="00FA2BB2">
      <w:pPr>
        <w:tabs>
          <w:tab w:val="left" w:pos="1694"/>
          <w:tab w:val="left" w:pos="2529"/>
          <w:tab w:val="left" w:pos="2992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2440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2E554ADF" w14:textId="77777777" w:rsidR="000278AC" w:rsidRDefault="00FA2BB2">
      <w:pPr>
        <w:tabs>
          <w:tab w:val="left" w:pos="1989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47.3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138’643</w:t>
      </w:r>
    </w:p>
    <w:p w14:paraId="19260E6D" w14:textId="77777777" w:rsidR="000278AC" w:rsidRDefault="000278AC">
      <w:pPr>
        <w:spacing w:before="3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64043507" w14:textId="77777777" w:rsidR="000278AC" w:rsidRDefault="00FA2BB2">
      <w:pPr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107327AF" w14:textId="77777777" w:rsidR="000278AC" w:rsidRDefault="00FA2BB2">
      <w:pPr>
        <w:tabs>
          <w:tab w:val="left" w:pos="879"/>
          <w:tab w:val="left" w:pos="1413"/>
          <w:tab w:val="left" w:pos="1919"/>
          <w:tab w:val="left" w:pos="2529"/>
          <w:tab w:val="left" w:pos="2935"/>
        </w:tabs>
        <w:spacing w:before="6" w:line="207" w:lineRule="auto"/>
        <w:ind w:left="106" w:right="15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320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69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116.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58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.4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81’000</w:t>
      </w:r>
    </w:p>
    <w:p w14:paraId="2CC62BC2" w14:textId="77777777" w:rsidR="000278AC" w:rsidRDefault="00FA2BB2">
      <w:pPr>
        <w:tabs>
          <w:tab w:val="left" w:pos="898"/>
          <w:tab w:val="left" w:pos="2375"/>
          <w:tab w:val="left" w:pos="2930"/>
        </w:tabs>
        <w:spacing w:line="154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SK: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w w:val="95"/>
          <w:sz w:val="14"/>
          <w:szCs w:val="14"/>
        </w:rPr>
        <w:t>115</w:t>
      </w:r>
      <w:r>
        <w:rPr>
          <w:rFonts w:ascii="Theinhardt Regular" w:eastAsia="Theinhardt Regular" w:hAnsi="Theinhardt Regular" w:cs="Theinhardt Regular"/>
          <w:color w:val="231F20"/>
          <w:spacing w:val="-7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24.9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34’500</w:t>
      </w:r>
    </w:p>
    <w:p w14:paraId="49897A62" w14:textId="77777777" w:rsidR="000278AC" w:rsidRDefault="00FA2BB2">
      <w:pPr>
        <w:tabs>
          <w:tab w:val="left" w:pos="2359"/>
          <w:tab w:val="left" w:pos="2862"/>
        </w:tabs>
        <w:spacing w:line="172" w:lineRule="exact"/>
        <w:ind w:left="107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w w:val="95"/>
          <w:sz w:val="14"/>
          <w:szCs w:val="14"/>
        </w:rPr>
        <w:t>83.3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115’500</w:t>
      </w:r>
    </w:p>
    <w:p w14:paraId="3A28D153" w14:textId="77777777" w:rsidR="000278AC" w:rsidRDefault="00FA2BB2">
      <w:pPr>
        <w:tabs>
          <w:tab w:val="left" w:pos="2530"/>
          <w:tab w:val="left" w:pos="2992"/>
        </w:tabs>
        <w:spacing w:before="32"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(Endenergie)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4AF3412E" w14:textId="77777777" w:rsidR="000278AC" w:rsidRDefault="00FA2BB2">
      <w:pPr>
        <w:tabs>
          <w:tab w:val="left" w:pos="2359"/>
        </w:tabs>
        <w:spacing w:line="160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83.3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138’640</w:t>
      </w:r>
    </w:p>
    <w:p w14:paraId="71186E5B" w14:textId="77777777" w:rsidR="000278AC" w:rsidRDefault="00FA2BB2">
      <w:pPr>
        <w:tabs>
          <w:tab w:val="left" w:pos="2410"/>
          <w:tab w:val="left" w:pos="2862"/>
        </w:tabs>
        <w:spacing w:line="160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115’500</w:t>
      </w:r>
    </w:p>
    <w:p w14:paraId="514E816F" w14:textId="77777777" w:rsidR="000278AC" w:rsidRDefault="00FA2BB2">
      <w:pPr>
        <w:tabs>
          <w:tab w:val="left" w:pos="2387"/>
          <w:tab w:val="left" w:pos="2953"/>
        </w:tabs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Fremdenergiezufuhr: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w w:val="95"/>
          <w:sz w:val="14"/>
          <w:szCs w:val="14"/>
        </w:rPr>
        <w:t>16.7</w:t>
      </w:r>
      <w:r>
        <w:rPr>
          <w:rFonts w:ascii="Theinhardt Regular" w:eastAsia="Theinhardt Regular" w:hAnsi="Theinhardt Regular" w:cs="Theinhardt Regular"/>
          <w:color w:val="231F20"/>
          <w:spacing w:val="-4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23’140</w:t>
      </w:r>
    </w:p>
    <w:p w14:paraId="4BC85A36" w14:textId="77777777" w:rsidR="000278AC" w:rsidRDefault="00FA2BB2">
      <w:pPr>
        <w:spacing w:before="35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NetZulg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3"/>
          <w:sz w:val="14"/>
        </w:rPr>
        <w:t>01.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</w:p>
    <w:p w14:paraId="6039B01E" w14:textId="77777777" w:rsidR="000278AC" w:rsidRDefault="000278AC">
      <w:pPr>
        <w:rPr>
          <w:rFonts w:ascii="Theinhardt Regular" w:eastAsia="Theinhardt Regular" w:hAnsi="Theinhardt Regular" w:cs="Theinhardt Regular"/>
          <w:sz w:val="14"/>
          <w:szCs w:val="14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2" w:space="119"/>
            <w:col w:w="3459" w:space="120"/>
            <w:col w:w="3560"/>
          </w:cols>
        </w:sectPr>
      </w:pPr>
    </w:p>
    <w:p w14:paraId="20265B52" w14:textId="77777777" w:rsidR="000278AC" w:rsidRDefault="00FA2BB2">
      <w:pPr>
        <w:pStyle w:val="berschrift1"/>
        <w:spacing w:before="149"/>
      </w:pPr>
      <w:r>
        <w:rPr>
          <w:color w:val="231F20"/>
          <w:spacing w:val="-2"/>
        </w:rPr>
        <w:t>gut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integrierte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PV-Fassade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MFH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einen</w:t>
      </w:r>
    </w:p>
    <w:p w14:paraId="7A8A2C42" w14:textId="77777777" w:rsidR="000278AC" w:rsidRDefault="00FA2BB2">
      <w:pPr>
        <w:pStyle w:val="Textkrper"/>
        <w:spacing w:before="149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4"/>
        </w:rPr>
        <w:t>zéro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émission,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aurait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suffi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d’y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intégrer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une</w:t>
      </w:r>
    </w:p>
    <w:p w14:paraId="21D0C728" w14:textId="77777777" w:rsidR="000278AC" w:rsidRDefault="00FA2BB2">
      <w:pPr>
        <w:rPr>
          <w:rFonts w:ascii="Theinhardt Regular Italic" w:eastAsia="Theinhardt Regular Italic" w:hAnsi="Theinhardt Regular Italic" w:cs="Theinhardt Regular Italic"/>
          <w:i/>
          <w:sz w:val="14"/>
          <w:szCs w:val="14"/>
        </w:rPr>
      </w:pPr>
      <w:r>
        <w:br w:type="column"/>
      </w:r>
    </w:p>
    <w:p w14:paraId="617501A7" w14:textId="77777777" w:rsidR="000278AC" w:rsidRDefault="00FA2BB2">
      <w:pPr>
        <w:spacing w:before="110" w:line="123" w:lineRule="exact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6BBF0B6E">
          <v:group id="_x0000_s1032" style="position:absolute;left:0;text-align:left;margin-left:386.1pt;margin-top:16.75pt;width:.1pt;height:.1pt;z-index:-4816;mso-position-horizontal-relative:page" coordorigin="7722,335" coordsize="2,2">
            <v:shape id="_x0000_s1033" style="position:absolute;left:7722;top:335;width:2;height:2" coordorigin="7722,335" coordsize="0,0" path="m7722,335r,e" filled="f" strokecolor="#231f20" strokeweight=".14994mm">
              <v:path arrowok="t"/>
            </v:shape>
            <w10:wrap anchorx="page"/>
          </v:group>
        </w:pict>
      </w:r>
      <w:r>
        <w:pict w14:anchorId="1B26783E">
          <v:group id="_x0000_s1030" style="position:absolute;left:0;text-align:left;margin-left:552.9pt;margin-top:16.75pt;width:.1pt;height:.1pt;z-index:1168;mso-position-horizontal-relative:page" coordorigin="11058,335" coordsize="2,2">
            <v:shape id="_x0000_s1031" style="position:absolute;left:11058;top:335;width:2;height:2" coordorigin="11058,335" coordsize="0,0" path="m11058,335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/>
          <w:b/>
          <w:color w:val="231F20"/>
          <w:spacing w:val="1"/>
          <w:sz w:val="14"/>
        </w:rPr>
        <w:t>Kontakt</w:t>
      </w:r>
    </w:p>
    <w:p w14:paraId="60CD3F61" w14:textId="77777777" w:rsidR="000278AC" w:rsidRDefault="000278AC">
      <w:pPr>
        <w:spacing w:line="123" w:lineRule="exact"/>
        <w:rPr>
          <w:rFonts w:ascii="Theinhardt Black" w:eastAsia="Theinhardt Black" w:hAnsi="Theinhardt Black" w:cs="Theinhardt Black"/>
          <w:sz w:val="14"/>
          <w:szCs w:val="14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0" w:space="121"/>
            <w:col w:w="3453" w:space="127"/>
            <w:col w:w="3559"/>
          </w:cols>
        </w:sectPr>
      </w:pPr>
    </w:p>
    <w:p w14:paraId="3D0552AA" w14:textId="77777777" w:rsidR="000278AC" w:rsidRDefault="00FA2BB2">
      <w:pPr>
        <w:pStyle w:val="berschrift1"/>
        <w:spacing w:line="182" w:lineRule="exact"/>
      </w:pP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</w:rPr>
        <w:t>2</w:t>
      </w:r>
      <w:r>
        <w:rPr>
          <w:color w:val="231F20"/>
          <w:spacing w:val="-2"/>
        </w:rPr>
        <w:t>-freien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PlusEnergieBau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verwandelt,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wel-</w:t>
      </w:r>
    </w:p>
    <w:p w14:paraId="10412937" w14:textId="77777777" w:rsidR="000278AC" w:rsidRDefault="00FA2BB2">
      <w:pPr>
        <w:pStyle w:val="Textkrper"/>
        <w:tabs>
          <w:tab w:val="left" w:pos="3706"/>
          <w:tab w:val="left" w:pos="7017"/>
        </w:tabs>
        <w:spacing w:line="182" w:lineRule="exac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façade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d’utiliser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l’excédent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solaire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</w:rPr>
        <w:tab/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2ED6D436" w14:textId="77777777" w:rsidR="000278AC" w:rsidRDefault="000278AC">
      <w:pPr>
        <w:spacing w:line="182" w:lineRule="exact"/>
        <w:sectPr w:rsidR="000278AC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3" w:space="119"/>
            <w:col w:w="7138"/>
          </w:cols>
        </w:sectPr>
      </w:pPr>
    </w:p>
    <w:p w14:paraId="0297DC0F" w14:textId="77777777" w:rsidR="000278AC" w:rsidRDefault="00FA2BB2">
      <w:pPr>
        <w:pStyle w:val="berschrift1"/>
        <w:spacing w:before="14" w:line="232" w:lineRule="auto"/>
      </w:pPr>
      <w:r>
        <w:rPr>
          <w:color w:val="231F20"/>
          <w:spacing w:val="-2"/>
        </w:rPr>
        <w:t>cher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E-Mobilität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emissionsfreien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Strom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geliefert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hätte.</w:t>
      </w:r>
    </w:p>
    <w:p w14:paraId="16E1E705" w14:textId="77777777" w:rsidR="000278AC" w:rsidRDefault="00FA2BB2">
      <w:pPr>
        <w:spacing w:line="232" w:lineRule="auto"/>
        <w:ind w:left="106" w:firstLine="226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pacing w:val="-10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Mehrgenerationenbau</w:t>
      </w:r>
      <w:r>
        <w:rPr>
          <w:rFonts w:ascii="Theinhardt Regular" w:hAnsi="Theinhardt Regular"/>
          <w:color w:val="231F20"/>
          <w:spacing w:val="-10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fördert</w:t>
      </w:r>
      <w:r>
        <w:rPr>
          <w:rFonts w:ascii="Theinhardt Regular" w:hAnsi="Theinhardt Regular"/>
          <w:color w:val="231F20"/>
          <w:spacing w:val="-1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das</w:t>
      </w:r>
      <w:r>
        <w:rPr>
          <w:rFonts w:ascii="Theinhardt Regular" w:hAnsi="Theinhardt Regular"/>
          <w:color w:val="231F20"/>
          <w:spacing w:val="-10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ge-</w:t>
      </w:r>
      <w:r>
        <w:rPr>
          <w:rFonts w:ascii="Theinhardt Regular" w:hAnsi="Theinhardt Regular"/>
          <w:color w:val="231F20"/>
          <w:spacing w:val="49"/>
          <w:sz w:val="18"/>
        </w:rPr>
        <w:t xml:space="preserve"> </w:t>
      </w:r>
      <w:proofErr w:type="gramStart"/>
      <w:r>
        <w:rPr>
          <w:rFonts w:ascii="Theinhardt Regular" w:hAnsi="Theinhardt Regular"/>
          <w:color w:val="231F20"/>
          <w:spacing w:val="-2"/>
          <w:sz w:val="18"/>
        </w:rPr>
        <w:t>meinschaftliche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Zusammenleben</w:t>
      </w:r>
      <w:proofErr w:type="gramEnd"/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4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zwischen</w:t>
      </w:r>
    </w:p>
    <w:p w14:paraId="73686DCD" w14:textId="77777777" w:rsidR="000278AC" w:rsidRDefault="00FA2BB2">
      <w:pPr>
        <w:pStyle w:val="Textkrper"/>
        <w:spacing w:before="9" w:line="234" w:lineRule="exac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3"/>
        </w:rPr>
        <w:t>l’électromobilité.</w:t>
      </w:r>
    </w:p>
    <w:p w14:paraId="08495127" w14:textId="77777777" w:rsidR="000278AC" w:rsidRDefault="00FA2BB2">
      <w:pPr>
        <w:pStyle w:val="Textkrper"/>
        <w:spacing w:before="2" w:line="232" w:lineRule="auto"/>
        <w:ind w:firstLine="226"/>
        <w:jc w:val="both"/>
        <w:rPr>
          <w:i w:val="0"/>
        </w:rPr>
      </w:pPr>
      <w:r>
        <w:rPr>
          <w:color w:val="231F20"/>
          <w:spacing w:val="-5"/>
        </w:rPr>
        <w:t>L’immeuble</w:t>
      </w:r>
      <w:r>
        <w:rPr>
          <w:color w:val="231F20"/>
        </w:rPr>
        <w:t xml:space="preserve">  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multigénérations</w:t>
      </w:r>
      <w:r>
        <w:rPr>
          <w:color w:val="231F20"/>
        </w:rPr>
        <w:t xml:space="preserve"> 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favorise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cohabitation.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locataires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disposent</w:t>
      </w:r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  <w:spacing w:val="-2"/>
        </w:rPr>
        <w:t>d’appartements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entièrement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équipés,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mais</w:t>
      </w:r>
    </w:p>
    <w:p w14:paraId="7FBB0C6C" w14:textId="77777777" w:rsidR="000278AC" w:rsidRDefault="00FA2BB2">
      <w:pPr>
        <w:spacing w:line="140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 w:hAnsi="Theinhardt Bold"/>
          <w:b/>
          <w:color w:val="231F20"/>
          <w:spacing w:val="1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45D88179" w14:textId="77777777" w:rsidR="000278AC" w:rsidRDefault="00FA2BB2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Weberweg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3612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Steffisburg</w:t>
      </w:r>
    </w:p>
    <w:p w14:paraId="1DEBCAB6" w14:textId="77777777" w:rsidR="000278AC" w:rsidRDefault="00FA2BB2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79CC7417" w14:textId="77777777" w:rsidR="000278AC" w:rsidRDefault="00FA2BB2">
      <w:pPr>
        <w:spacing w:before="6" w:line="207" w:lineRule="auto"/>
        <w:ind w:left="106" w:right="1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Brügger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Heinz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Brügger</w:t>
      </w:r>
      <w:r>
        <w:rPr>
          <w:rFonts w:ascii="Theinhardt Regular" w:hAnsi="Theinhardt Regular"/>
          <w:color w:val="231F20"/>
          <w:spacing w:val="27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Schelbenstrasse</w:t>
      </w:r>
      <w:r>
        <w:rPr>
          <w:rFonts w:ascii="Theinhardt Regular" w:hAnsi="Theinhardt Regular"/>
          <w:color w:val="231F20"/>
          <w:sz w:val="14"/>
        </w:rPr>
        <w:t xml:space="preserve"> 6, </w:t>
      </w:r>
      <w:r>
        <w:rPr>
          <w:rFonts w:ascii="Theinhardt Regular" w:hAnsi="Theinhardt Regular"/>
          <w:color w:val="231F20"/>
          <w:spacing w:val="1"/>
          <w:sz w:val="14"/>
        </w:rPr>
        <w:t>3600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Thun</w:t>
      </w:r>
    </w:p>
    <w:p w14:paraId="338E9D9A" w14:textId="77777777" w:rsidR="000278AC" w:rsidRDefault="00FA2BB2">
      <w:pPr>
        <w:spacing w:line="125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33 655 30 </w:t>
      </w:r>
      <w:r>
        <w:rPr>
          <w:rFonts w:ascii="Theinhardt Regular"/>
          <w:color w:val="231F20"/>
          <w:spacing w:val="1"/>
          <w:sz w:val="14"/>
        </w:rPr>
        <w:t>80</w:t>
      </w:r>
    </w:p>
    <w:p w14:paraId="0140F18B" w14:textId="77777777" w:rsidR="000278AC" w:rsidRDefault="000278AC">
      <w:pPr>
        <w:spacing w:line="125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52" w:space="127"/>
            <w:col w:w="3559"/>
          </w:cols>
        </w:sectPr>
      </w:pPr>
    </w:p>
    <w:p w14:paraId="337F17BF" w14:textId="77777777" w:rsidR="000278AC" w:rsidRDefault="00FA2BB2">
      <w:pPr>
        <w:pStyle w:val="berschrift1"/>
        <w:spacing w:line="195" w:lineRule="exact"/>
        <w:jc w:val="both"/>
      </w:pPr>
      <w:r>
        <w:rPr>
          <w:color w:val="231F20"/>
          <w:spacing w:val="-2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Mietern.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vollausgestatteten</w:t>
      </w:r>
      <w:r>
        <w:rPr>
          <w:color w:val="231F20"/>
          <w:spacing w:val="-4"/>
        </w:rPr>
        <w:t xml:space="preserve"> Woh-</w:t>
      </w:r>
    </w:p>
    <w:p w14:paraId="2DBEC159" w14:textId="77777777" w:rsidR="000278AC" w:rsidRDefault="00FA2BB2">
      <w:pPr>
        <w:spacing w:before="2" w:line="232" w:lineRule="auto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2"/>
          <w:sz w:val="18"/>
        </w:rPr>
        <w:t>nungen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werden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durch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grosszügige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Gemein-</w:t>
      </w:r>
      <w:r>
        <w:rPr>
          <w:rFonts w:ascii="Theinhardt Regular" w:hAnsi="Theinhardt Regular"/>
          <w:color w:val="231F20"/>
          <w:spacing w:val="2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schaftsräume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ergänzt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wie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einer</w:t>
      </w:r>
      <w:r>
        <w:rPr>
          <w:rFonts w:ascii="Theinhardt Regular" w:hAnsi="Theinhardt Regular"/>
          <w:color w:val="231F20"/>
          <w:spacing w:val="7"/>
          <w:sz w:val="18"/>
        </w:rPr>
        <w:t xml:space="preserve"> </w:t>
      </w:r>
      <w:r>
        <w:rPr>
          <w:rFonts w:ascii="Theinhardt Regular" w:hAnsi="Theinhardt Regular"/>
          <w:color w:val="231F20"/>
          <w:spacing w:val="-4"/>
          <w:sz w:val="18"/>
        </w:rPr>
        <w:t>Terrasse,</w:t>
      </w:r>
      <w:r>
        <w:rPr>
          <w:rFonts w:ascii="Theinhardt Regular" w:hAnsi="Theinhardt Regular"/>
          <w:color w:val="231F20"/>
          <w:spacing w:val="2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einem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Solar-Wellness,</w:t>
      </w:r>
      <w:r>
        <w:rPr>
          <w:rFonts w:ascii="Theinhardt Regular" w:hAnsi="Theinhardt Regular"/>
          <w:color w:val="231F20"/>
          <w:spacing w:val="8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zwei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Gemeinschafts-</w:t>
      </w:r>
      <w:r>
        <w:rPr>
          <w:rFonts w:ascii="Theinhardt Regular" w:hAnsi="Theinhardt Regular"/>
          <w:color w:val="231F20"/>
          <w:spacing w:val="4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gärten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und</w:t>
      </w:r>
      <w:r>
        <w:rPr>
          <w:rFonts w:ascii="Theinhardt Regular" w:hAnsi="Theinhardt Regular"/>
          <w:color w:val="231F20"/>
          <w:spacing w:val="2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einem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grossen</w:t>
      </w:r>
      <w:r>
        <w:rPr>
          <w:rFonts w:ascii="Theinhardt Regular" w:hAnsi="Theinhardt Regular"/>
          <w:color w:val="231F20"/>
          <w:spacing w:val="25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Essbereich.</w:t>
      </w:r>
      <w:r>
        <w:rPr>
          <w:rFonts w:ascii="Theinhardt Regular" w:hAnsi="Theinhardt Regular"/>
          <w:color w:val="231F20"/>
          <w:spacing w:val="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Um</w:t>
      </w:r>
      <w:r>
        <w:rPr>
          <w:rFonts w:ascii="Theinhardt Regular" w:hAnsi="Theinhardt Regular"/>
          <w:color w:val="231F20"/>
          <w:spacing w:val="2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das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Wohnquartier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zu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beleben,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wird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auch</w:t>
      </w:r>
      <w:r>
        <w:rPr>
          <w:rFonts w:ascii="Theinhardt Regular" w:hAnsi="Theinhardt Regular"/>
          <w:color w:val="231F20"/>
          <w:spacing w:val="2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lokales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Gewerbe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miteinbezogen.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Erdge-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schoss befi</w:t>
      </w:r>
      <w:r>
        <w:rPr>
          <w:rFonts w:ascii="Theinhardt Regular" w:hAnsi="Theinhardt Regular"/>
          <w:color w:val="231F20"/>
          <w:sz w:val="18"/>
        </w:rPr>
        <w:t xml:space="preserve">  </w:t>
      </w:r>
      <w:r>
        <w:rPr>
          <w:rFonts w:ascii="Theinhardt Regular" w:hAnsi="Theinhardt Regular"/>
          <w:color w:val="231F20"/>
          <w:spacing w:val="42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sich eine Kindertagesstätte</w:t>
      </w:r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und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ein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Bistro.</w:t>
      </w:r>
    </w:p>
    <w:p w14:paraId="0A0C32D6" w14:textId="77777777" w:rsidR="000278AC" w:rsidRDefault="00FA2BB2">
      <w:pPr>
        <w:spacing w:line="232" w:lineRule="auto"/>
        <w:ind w:left="106" w:right="10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3"/>
          <w:sz w:val="18"/>
        </w:rPr>
        <w:t>Für</w:t>
      </w:r>
      <w:r>
        <w:rPr>
          <w:rFonts w:ascii="Theinhardt Regular" w:hAnsi="Theinhardt Regular"/>
          <w:color w:val="231F20"/>
          <w:spacing w:val="3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das</w:t>
      </w:r>
      <w:r>
        <w:rPr>
          <w:rFonts w:ascii="Theinhardt Regular" w:hAnsi="Theinhardt Regular"/>
          <w:color w:val="231F20"/>
          <w:spacing w:val="3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partizipative</w:t>
      </w:r>
      <w:r>
        <w:rPr>
          <w:rFonts w:ascii="Theinhardt Regular" w:hAnsi="Theinhardt Regular"/>
          <w:color w:val="231F20"/>
          <w:spacing w:val="33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und</w:t>
      </w:r>
      <w:r>
        <w:rPr>
          <w:rFonts w:ascii="Theinhardt Regular" w:hAnsi="Theinhardt Regular"/>
          <w:color w:val="231F20"/>
          <w:spacing w:val="3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nachhaltige</w:t>
      </w:r>
      <w:r>
        <w:rPr>
          <w:rFonts w:ascii="Theinhardt Regular" w:hAnsi="Theinhardt Regular"/>
          <w:color w:val="231F20"/>
          <w:spacing w:val="23"/>
          <w:sz w:val="18"/>
        </w:rPr>
        <w:t xml:space="preserve"> </w:t>
      </w:r>
      <w:r>
        <w:rPr>
          <w:rFonts w:ascii="Theinhardt Regular" w:hAnsi="Theinhardt Regular"/>
          <w:color w:val="231F20"/>
          <w:spacing w:val="-4"/>
          <w:sz w:val="18"/>
        </w:rPr>
        <w:t>Wohnkonzept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verdient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das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Gebäude</w:t>
      </w:r>
      <w:r>
        <w:rPr>
          <w:rFonts w:ascii="Theinhardt Regular" w:hAnsi="Theinhardt Regular"/>
          <w:color w:val="231F20"/>
          <w:spacing w:val="1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den</w:t>
      </w:r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Schweizer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Solarpreis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2021.</w:t>
      </w:r>
    </w:p>
    <w:p w14:paraId="1107001E" w14:textId="77777777" w:rsidR="000278AC" w:rsidRDefault="00FA2BB2">
      <w:pPr>
        <w:pStyle w:val="Textkrper"/>
        <w:tabs>
          <w:tab w:val="left" w:pos="7017"/>
        </w:tabs>
        <w:spacing w:line="195" w:lineRule="exact"/>
        <w:jc w:val="both"/>
        <w:rPr>
          <w:i w:val="0"/>
        </w:rPr>
      </w:pPr>
      <w:r>
        <w:rPr>
          <w:i w:val="0"/>
        </w:rPr>
        <w:br w:type="column"/>
      </w:r>
      <w:proofErr w:type="gramStart"/>
      <w:r>
        <w:rPr>
          <w:color w:val="231F20"/>
          <w:spacing w:val="-1"/>
        </w:rPr>
        <w:t>aussi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de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locaux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communs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généreux: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une</w:t>
      </w:r>
      <w:r>
        <w:rPr>
          <w:color w:val="231F20"/>
        </w:rPr>
        <w:t xml:space="preserve">    </w:t>
      </w:r>
      <w:r>
        <w:rPr>
          <w:color w:val="231F20"/>
          <w:spacing w:val="12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549C3BDA" w14:textId="77777777" w:rsidR="000278AC" w:rsidRDefault="00FA2BB2">
      <w:pPr>
        <w:pStyle w:val="Textkrper"/>
        <w:spacing w:before="2" w:line="232" w:lineRule="auto"/>
        <w:ind w:right="3680"/>
        <w:jc w:val="both"/>
        <w:rPr>
          <w:i w:val="0"/>
        </w:rPr>
      </w:pPr>
      <w:r>
        <w:pict w14:anchorId="2DDFB0FA">
          <v:group id="_x0000_s1028" style="position:absolute;left:0;text-align:left;margin-left:386.1pt;margin-top:-2.65pt;width:.1pt;height:.1pt;z-index:-4768;mso-position-horizontal-relative:page" coordorigin="7722,-53" coordsize="2,2">
            <v:shape id="_x0000_s1029" style="position:absolute;left:7722;top:-53;width:2;height:2" coordorigin="7722,-53" coordsize="0,0" path="m7722,-53r,e" filled="f" strokecolor="#231f20" strokeweight=".14994mm">
              <v:path arrowok="t"/>
            </v:shape>
            <w10:wrap anchorx="page"/>
          </v:group>
        </w:pict>
      </w:r>
      <w:r>
        <w:pict w14:anchorId="7995211D">
          <v:group id="_x0000_s1026" style="position:absolute;left:0;text-align:left;margin-left:552.9pt;margin-top:-2.65pt;width:.1pt;height:.1pt;z-index:1216;mso-position-horizontal-relative:page" coordorigin="11058,-53" coordsize="2,2">
            <v:shape id="_x0000_s1027" style="position:absolute;left:11058;top:-53;width:2;height:2" coordorigin="11058,-53" coordsize="0,0" path="m11058,-53r,e" filled="f" strokecolor="#231f20" strokeweight=".14994mm">
              <v:path arrowok="t"/>
            </v:shape>
            <w10:wrap anchorx="page"/>
          </v:group>
        </w:pict>
      </w:r>
      <w:r>
        <w:rPr>
          <w:color w:val="231F20"/>
          <w:spacing w:val="-3"/>
        </w:rPr>
        <w:t>terrasse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attique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avec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espace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bienêtre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3"/>
        </w:rPr>
        <w:t>solaire,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deux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jardins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collectifs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une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grande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salle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manger.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commerces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proximité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viendront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outre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animer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quartier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résiden-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tiel.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rez-de-chaussée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accueillera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bientôt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petit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magasin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agricole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plus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crèche </w:t>
      </w:r>
      <w:r>
        <w:rPr>
          <w:color w:val="231F20"/>
          <w:spacing w:val="-2"/>
        </w:rPr>
        <w:t>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bistrot.</w:t>
      </w:r>
    </w:p>
    <w:p w14:paraId="08B0FE31" w14:textId="77777777" w:rsidR="000278AC" w:rsidRDefault="00FA2BB2">
      <w:pPr>
        <w:pStyle w:val="Textkrper"/>
        <w:spacing w:line="232" w:lineRule="auto"/>
        <w:ind w:right="3681" w:firstLine="226"/>
        <w:jc w:val="both"/>
        <w:rPr>
          <w:i w:val="0"/>
        </w:rPr>
      </w:pPr>
      <w:r>
        <w:rPr>
          <w:color w:val="231F20"/>
          <w:spacing w:val="-5"/>
        </w:rPr>
        <w:t>L’immeuble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«Stuckimatte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wohnenplus»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reçoit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Prix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Solaire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Suisse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2021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son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 xml:space="preserve">concept </w:t>
      </w:r>
      <w:r>
        <w:rPr>
          <w:color w:val="231F20"/>
          <w:spacing w:val="-1"/>
        </w:rPr>
        <w:t>d’habitat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participatif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durable.</w:t>
      </w:r>
    </w:p>
    <w:p w14:paraId="09144D75" w14:textId="77777777" w:rsidR="000278AC" w:rsidRDefault="000278AC">
      <w:pPr>
        <w:spacing w:line="232" w:lineRule="auto"/>
        <w:jc w:val="both"/>
        <w:sectPr w:rsidR="000278AC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63" w:space="108"/>
            <w:col w:w="7139"/>
          </w:cols>
        </w:sectPr>
      </w:pPr>
    </w:p>
    <w:p w14:paraId="6AEC490F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05BBB033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0C634FCD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58F91296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64AD749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03200B5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7951FCE3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595F8833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40F8F08F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2931643C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6DF13CF" w14:textId="77777777" w:rsidR="000278AC" w:rsidRDefault="000278AC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1707C704" w14:textId="77777777" w:rsidR="000278AC" w:rsidRDefault="000278AC">
      <w:pPr>
        <w:spacing w:before="12"/>
        <w:rPr>
          <w:rFonts w:ascii="Theinhardt Regular Italic" w:eastAsia="Theinhardt Regular Italic" w:hAnsi="Theinhardt Regular Italic" w:cs="Theinhardt Regular Italic"/>
          <w:i/>
          <w:sz w:val="26"/>
          <w:szCs w:val="26"/>
        </w:rPr>
      </w:pPr>
    </w:p>
    <w:p w14:paraId="206A9DA0" w14:textId="77777777" w:rsidR="000278AC" w:rsidRDefault="00FA2BB2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56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p w14:paraId="352DCD4E" w14:textId="77777777" w:rsidR="000278AC" w:rsidRDefault="000278AC">
      <w:pPr>
        <w:rPr>
          <w:rFonts w:ascii="Theinhardt Regular" w:eastAsia="Theinhardt Regular" w:hAnsi="Theinhardt Regular" w:cs="Theinhardt Regular"/>
          <w:sz w:val="14"/>
          <w:szCs w:val="14"/>
        </w:rPr>
        <w:sectPr w:rsidR="000278AC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3929FC6F" w14:textId="77777777" w:rsidR="000278AC" w:rsidRDefault="000278AC">
      <w:pPr>
        <w:spacing w:before="6"/>
        <w:rPr>
          <w:rFonts w:ascii="Theinhardt Regular" w:eastAsia="Theinhardt Regular" w:hAnsi="Theinhardt Regular" w:cs="Theinhardt Regular"/>
          <w:sz w:val="5"/>
          <w:szCs w:val="5"/>
        </w:rPr>
      </w:pPr>
    </w:p>
    <w:p w14:paraId="1AC5F2A9" w14:textId="77777777" w:rsidR="000278AC" w:rsidRDefault="00FA2BB2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69243B83" wp14:editId="2E0BF2AC">
            <wp:extent cx="6643490" cy="445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490" cy="445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0A0C" w14:textId="77777777" w:rsidR="000278AC" w:rsidRDefault="00FA2BB2">
      <w:pPr>
        <w:spacing w:before="34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57BD413B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127C4A3B" w14:textId="77777777" w:rsidR="000278AC" w:rsidRDefault="00FA2BB2">
      <w:pPr>
        <w:tabs>
          <w:tab w:val="left" w:pos="6204"/>
        </w:tabs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/>
          <w:noProof/>
          <w:sz w:val="20"/>
        </w:rPr>
        <w:drawing>
          <wp:inline distT="0" distB="0" distL="0" distR="0" wp14:anchorId="1B698169" wp14:editId="39965337">
            <wp:extent cx="3741670" cy="240201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670" cy="240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  <w:tab/>
      </w:r>
      <w:r>
        <w:rPr>
          <w:rFonts w:ascii="Theinhardt Bold"/>
          <w:noProof/>
          <w:position w:val="4"/>
          <w:sz w:val="20"/>
        </w:rPr>
        <w:drawing>
          <wp:inline distT="0" distB="0" distL="0" distR="0" wp14:anchorId="5703360D" wp14:editId="313D7F18">
            <wp:extent cx="2774734" cy="23788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734" cy="237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86C16" w14:textId="77777777" w:rsidR="000278AC" w:rsidRDefault="00FA2BB2">
      <w:pPr>
        <w:tabs>
          <w:tab w:val="left" w:pos="6204"/>
        </w:tabs>
        <w:spacing w:line="185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b/>
          <w:color w:val="231F20"/>
          <w:sz w:val="14"/>
        </w:rPr>
        <w:tab/>
        <w:t>3</w:t>
      </w:r>
    </w:p>
    <w:p w14:paraId="209759BE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95A8804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120F1EB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7EDB6DC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58D04BD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DFBB960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D03754F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8B844F3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039CB76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43F35A6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7F9FB97" w14:textId="77777777" w:rsidR="000278AC" w:rsidRDefault="000278AC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C35CB55" w14:textId="77777777" w:rsidR="000278AC" w:rsidRDefault="000278AC">
      <w:pPr>
        <w:rPr>
          <w:rFonts w:ascii="Theinhardt Bold" w:eastAsia="Theinhardt Bold" w:hAnsi="Theinhardt Bold" w:cs="Theinhardt Bold"/>
          <w:sz w:val="20"/>
          <w:szCs w:val="20"/>
        </w:rPr>
        <w:sectPr w:rsidR="000278AC">
          <w:pgSz w:w="11910" w:h="16840"/>
          <w:pgMar w:top="860" w:right="460" w:bottom="280" w:left="740" w:header="720" w:footer="720" w:gutter="0"/>
          <w:cols w:space="720"/>
        </w:sectPr>
      </w:pPr>
    </w:p>
    <w:p w14:paraId="36C68945" w14:textId="77777777" w:rsidR="000278AC" w:rsidRDefault="000278AC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798CEC9C" w14:textId="77777777" w:rsidR="000278AC" w:rsidRDefault="00FA2BB2">
      <w:pPr>
        <w:numPr>
          <w:ilvl w:val="0"/>
          <w:numId w:val="1"/>
        </w:numPr>
        <w:tabs>
          <w:tab w:val="left" w:pos="338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-2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MFH</w:t>
      </w:r>
      <w:r>
        <w:rPr>
          <w:rFonts w:ascii="Theinhardt Bold" w:hAnsi="Theinhardt Bold"/>
          <w:b/>
          <w:color w:val="231F20"/>
          <w:spacing w:val="-2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«</w:t>
      </w:r>
      <w:r>
        <w:rPr>
          <w:rFonts w:ascii="Theinhardt Bold" w:hAnsi="Theinhardt Bold"/>
          <w:b/>
          <w:color w:val="231F20"/>
          <w:spacing w:val="-2"/>
          <w:sz w:val="14"/>
        </w:rPr>
        <w:t>Wohnen</w:t>
      </w:r>
      <w:r>
        <w:rPr>
          <w:rFonts w:ascii="Theinhardt Bold" w:hAnsi="Theinhardt Bold"/>
          <w:b/>
          <w:color w:val="231F20"/>
          <w:spacing w:val="-2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Plus</w:t>
      </w:r>
      <w:r>
        <w:rPr>
          <w:rFonts w:ascii="Theinhardt Bold" w:hAnsi="Theinhardt Bold"/>
          <w:b/>
          <w:color w:val="231F20"/>
          <w:spacing w:val="-2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2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4"/>
        </w:rPr>
        <w:t>Energie</w:t>
      </w:r>
      <w:r>
        <w:rPr>
          <w:rFonts w:ascii="Theinhardt Bold" w:hAnsi="Theinhardt Bold"/>
          <w:b/>
          <w:color w:val="231F20"/>
          <w:spacing w:val="-2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Plus»</w:t>
      </w:r>
      <w:r>
        <w:rPr>
          <w:rFonts w:ascii="Theinhardt Bold" w:hAnsi="Theinhardt Bold"/>
          <w:b/>
          <w:color w:val="231F20"/>
          <w:spacing w:val="-2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4"/>
        </w:rPr>
        <w:t>verbindet</w:t>
      </w:r>
      <w:r>
        <w:rPr>
          <w:rFonts w:ascii="Theinhardt Bold" w:hAnsi="Theinhardt Bold"/>
          <w:b/>
          <w:color w:val="231F20"/>
          <w:spacing w:val="41"/>
          <w:w w:val="9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nachhaltiges Miteinanderleben</w:t>
      </w:r>
      <w:r>
        <w:rPr>
          <w:rFonts w:ascii="Theinhardt Bold" w:hAns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von</w:t>
      </w:r>
      <w:r>
        <w:rPr>
          <w:rFonts w:ascii="Theinhardt Bold" w:hAnsi="Theinhardt Bold"/>
          <w:b/>
          <w:color w:val="231F20"/>
          <w:spacing w:val="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Jung und</w:t>
      </w:r>
      <w:r>
        <w:rPr>
          <w:rFonts w:ascii="Theinhardt Bold" w:hAnsi="Theinhardt Bold"/>
          <w:b/>
          <w:color w:val="231F20"/>
          <w:spacing w:val="1"/>
          <w:sz w:val="14"/>
        </w:rPr>
        <w:t xml:space="preserve"> Alt</w:t>
      </w:r>
      <w:r>
        <w:rPr>
          <w:rFonts w:ascii="Theinhardt Bold" w:hAnsi="Theinhardt Bold"/>
          <w:b/>
          <w:color w:val="231F20"/>
          <w:spacing w:val="24"/>
          <w:w w:val="95"/>
          <w:sz w:val="14"/>
        </w:rPr>
        <w:t xml:space="preserve"> </w:t>
      </w:r>
      <w:r>
        <w:rPr>
          <w:rFonts w:ascii="Theinhardt Bold" w:hAnsi="Theinhardt Bold"/>
          <w:b/>
          <w:color w:val="231F20"/>
          <w:w w:val="95"/>
          <w:sz w:val="14"/>
        </w:rPr>
        <w:t>mit</w:t>
      </w:r>
      <w:r>
        <w:rPr>
          <w:rFonts w:ascii="Theinhardt Bold" w:hAnsi="Theinhardt Bold"/>
          <w:b/>
          <w:color w:val="231F20"/>
          <w:spacing w:val="-1"/>
          <w:w w:val="95"/>
          <w:sz w:val="14"/>
        </w:rPr>
        <w:t xml:space="preserve"> </w:t>
      </w:r>
      <w:r>
        <w:rPr>
          <w:rFonts w:ascii="Theinhardt Bold" w:hAnsi="Theinhardt Bold"/>
          <w:b/>
          <w:color w:val="231F20"/>
          <w:w w:val="95"/>
          <w:sz w:val="14"/>
        </w:rPr>
        <w:t xml:space="preserve">einem nachhaltigen </w:t>
      </w:r>
      <w:r>
        <w:rPr>
          <w:rFonts w:ascii="Theinhardt Bold" w:hAnsi="Theinhardt Bold"/>
          <w:b/>
          <w:color w:val="231F20"/>
          <w:spacing w:val="-1"/>
          <w:w w:val="95"/>
          <w:sz w:val="14"/>
        </w:rPr>
        <w:t>Energiekonzept.</w:t>
      </w:r>
    </w:p>
    <w:p w14:paraId="2E5E26FE" w14:textId="77777777" w:rsidR="000278AC" w:rsidRDefault="00FA2BB2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  <w:r>
        <w:br w:type="column"/>
      </w:r>
    </w:p>
    <w:p w14:paraId="6D0A9DBC" w14:textId="77777777" w:rsidR="000278AC" w:rsidRDefault="00FA2BB2">
      <w:pPr>
        <w:numPr>
          <w:ilvl w:val="0"/>
          <w:numId w:val="1"/>
        </w:numPr>
        <w:tabs>
          <w:tab w:val="left" w:pos="338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Dach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drei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Car-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port-Anlagen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produzieren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rund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81’000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emissionsfreien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Solarstrom.</w:t>
      </w:r>
    </w:p>
    <w:p w14:paraId="4B522FBB" w14:textId="77777777" w:rsidR="000278AC" w:rsidRDefault="00FA2BB2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  <w:r>
        <w:br w:type="column"/>
      </w:r>
    </w:p>
    <w:p w14:paraId="2AFDEB48" w14:textId="77777777" w:rsidR="000278AC" w:rsidRDefault="00FA2BB2">
      <w:pPr>
        <w:numPr>
          <w:ilvl w:val="0"/>
          <w:numId w:val="1"/>
        </w:numPr>
        <w:tabs>
          <w:tab w:val="left" w:pos="338"/>
        </w:tabs>
        <w:spacing w:line="160" w:lineRule="exact"/>
        <w:ind w:right="10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Das</w:t>
      </w:r>
      <w:r>
        <w:rPr>
          <w:rFonts w:asci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Mehrfamilienhaus</w:t>
      </w:r>
      <w:r>
        <w:rPr>
          <w:rFonts w:asci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mit</w:t>
      </w:r>
      <w:r>
        <w:rPr>
          <w:rFonts w:asci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14</w:t>
      </w:r>
      <w:r>
        <w:rPr>
          <w:rFonts w:asci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Wohnungen</w:t>
      </w:r>
      <w:r>
        <w:rPr>
          <w:rFonts w:ascii="Theinhardt Bold"/>
          <w:b/>
          <w:color w:val="231F20"/>
          <w:spacing w:val="12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weist</w:t>
      </w:r>
      <w:r>
        <w:rPr>
          <w:rFonts w:ascii="Theinhardt Bold"/>
          <w:b/>
          <w:color w:val="231F20"/>
          <w:spacing w:val="24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eine </w:t>
      </w:r>
      <w:r>
        <w:rPr>
          <w:rFonts w:ascii="Theinhardt Bold"/>
          <w:b/>
          <w:color w:val="231F20"/>
          <w:spacing w:val="-1"/>
          <w:sz w:val="14"/>
        </w:rPr>
        <w:t>Eigenenergieversorgung</w:t>
      </w:r>
      <w:r>
        <w:rPr>
          <w:rFonts w:ascii="Theinhardt Bold"/>
          <w:b/>
          <w:color w:val="231F20"/>
          <w:sz w:val="14"/>
        </w:rPr>
        <w:t xml:space="preserve"> von 83% </w:t>
      </w:r>
      <w:r>
        <w:rPr>
          <w:rFonts w:ascii="Theinhardt Bold"/>
          <w:b/>
          <w:color w:val="231F20"/>
          <w:spacing w:val="-2"/>
          <w:sz w:val="14"/>
        </w:rPr>
        <w:t>auf.</w:t>
      </w:r>
    </w:p>
    <w:p w14:paraId="6A37F488" w14:textId="77777777" w:rsidR="000278AC" w:rsidRDefault="000278AC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0278AC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56" w:space="116"/>
            <w:col w:w="3456" w:space="116"/>
            <w:col w:w="3566"/>
          </w:cols>
        </w:sectPr>
      </w:pPr>
    </w:p>
    <w:p w14:paraId="7FACFB44" w14:textId="77777777" w:rsidR="000278AC" w:rsidRDefault="000278AC">
      <w:pPr>
        <w:spacing w:before="4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2A305531" w14:textId="77777777" w:rsidR="000278AC" w:rsidRDefault="00FA2BB2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57</w:t>
      </w:r>
    </w:p>
    <w:sectPr w:rsidR="000278AC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AD5"/>
    <w:multiLevelType w:val="hybridMultilevel"/>
    <w:tmpl w:val="6EB213C0"/>
    <w:lvl w:ilvl="0" w:tplc="2E2A8FE2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5F8CE3B6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 w:tplc="81CCFB48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 w:tplc="C010D3F6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 w:tplc="3E02564A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 w:tplc="D0F4CD48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 w:tplc="DD88468E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 w:tplc="021E8E46">
      <w:start w:val="1"/>
      <w:numFmt w:val="bullet"/>
      <w:lvlText w:val="•"/>
      <w:lvlJc w:val="left"/>
      <w:pPr>
        <w:ind w:left="2519" w:hanging="227"/>
      </w:pPr>
      <w:rPr>
        <w:rFonts w:hint="default"/>
      </w:rPr>
    </w:lvl>
    <w:lvl w:ilvl="8" w:tplc="AF4EEF82">
      <w:start w:val="1"/>
      <w:numFmt w:val="bullet"/>
      <w:lvlText w:val="•"/>
      <w:lvlJc w:val="left"/>
      <w:pPr>
        <w:ind w:left="283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AC"/>
    <w:rsid w:val="000278AC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4:docId w14:val="2F86DDFB"/>
  <w15:docId w15:val="{3287CE13-9F48-4431-8C6E-B88FB5A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rFonts w:ascii="Theinhardt Regular" w:eastAsia="Theinhardt Regular" w:hAnsi="Theinhardt Regular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2021-10-19T13:42:00Z</dcterms:created>
  <dcterms:modified xsi:type="dcterms:W3CDTF">2021-10-19T11:42:00Z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