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7CE1" w14:textId="77777777" w:rsidR="002600FB" w:rsidRDefault="005C7C0C">
      <w:pPr>
        <w:tabs>
          <w:tab w:val="left" w:pos="2561"/>
        </w:tabs>
        <w:spacing w:before="28" w:line="230" w:lineRule="exact"/>
        <w:ind w:left="131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3B0F278B">
          <v:group id="_x0000_s1053" style="position:absolute;left:0;text-align:left;margin-left:28.8pt;margin-top:13.65pt;width:.1pt;height:.1pt;z-index:-4024;mso-position-horizontal-relative:page" coordorigin="576,273" coordsize="2,2">
            <v:shape id="_x0000_s1054" style="position:absolute;left:576;top:273;width:2;height:2" coordorigin="576,273" coordsize="0,0" path="m576,273r,e" filled="f" strokecolor="#231f20" strokeweight=".14994mm">
              <v:path arrowok="t"/>
            </v:shape>
            <w10:wrap anchorx="page"/>
          </v:group>
        </w:pict>
      </w:r>
      <w:r>
        <w:pict w14:anchorId="4F6CD48A">
          <v:group id="_x0000_s1051" style="position:absolute;left:0;text-align:left;margin-left:150.5pt;margin-top:13.65pt;width:.1pt;height:.1pt;z-index:1072;mso-position-horizontal-relative:page" coordorigin="3010,273" coordsize="2,2">
            <v:shape id="_x0000_s1052" style="position:absolute;left:3010;top:273;width:2;height:2" coordorigin="3010,273" coordsize="0,0" path="m3010,273r,e" filled="f" strokecolor="#231f20" strokeweight=".14994mm">
              <v:path arrowok="t"/>
            </v:shape>
            <w10:wrap anchorx="page"/>
          </v:group>
        </w:pict>
      </w:r>
      <w:r>
        <w:pict w14:anchorId="1D229231">
          <v:group id="_x0000_s1049" style="position:absolute;left:0;text-align:left;margin-left:28.8pt;margin-top:25.15pt;width:.1pt;height:.1pt;z-index:-3976;mso-position-horizontal-relative:page" coordorigin="576,503" coordsize="2,2">
            <v:shape id="_x0000_s1050" style="position:absolute;left:576;top:503;width:2;height:2" coordorigin="576,503" coordsize="0,0" path="m576,503r,e" filled="f" strokecolor="#231f20" strokeweight=".14994mm">
              <v:path arrowok="t"/>
            </v:shape>
            <w10:wrap anchorx="page"/>
          </v:group>
        </w:pict>
      </w:r>
      <w:r>
        <w:pict w14:anchorId="524F3665">
          <v:group id="_x0000_s1047" style="position:absolute;left:0;text-align:left;margin-left:150.5pt;margin-top:25.15pt;width:.1pt;height:.1pt;z-index:1120;mso-position-horizontal-relative:page" coordorigin="3010,503" coordsize="2,2">
            <v:shape id="_x0000_s1048" style="position:absolute;left:3010;top:503;width:2;height:2" coordorigin="3010,503" coordsize="0,0" path="m3010,503r,e" filled="f" strokecolor="#231f20" strokeweight=".14994mm">
              <v:path arrowok="t"/>
            </v:shape>
            <w10:wrap anchorx="page"/>
          </v:group>
        </w:pict>
      </w:r>
      <w:r>
        <w:rPr>
          <w:rFonts w:ascii="Theinhardt Heavy"/>
          <w:b/>
          <w:color w:val="231F20"/>
          <w:sz w:val="18"/>
          <w:u w:val="dotted" w:color="231F20"/>
        </w:rPr>
        <w:t xml:space="preserve">Kategorie C </w:t>
      </w:r>
      <w:r>
        <w:rPr>
          <w:rFonts w:ascii="Theinhardt Heavy"/>
          <w:b/>
          <w:color w:val="231F20"/>
          <w:sz w:val="18"/>
          <w:u w:val="dotted" w:color="231F20"/>
        </w:rPr>
        <w:tab/>
      </w:r>
      <w:r>
        <w:rPr>
          <w:rFonts w:ascii="Theinhardt Heavy"/>
          <w:b/>
          <w:color w:val="231F20"/>
          <w:sz w:val="18"/>
        </w:rPr>
        <w:t xml:space="preserve"> </w:t>
      </w:r>
      <w:r>
        <w:rPr>
          <w:rFonts w:ascii="Theinhardt Heavy"/>
          <w:b/>
          <w:color w:val="231F20"/>
          <w:spacing w:val="-1"/>
          <w:sz w:val="18"/>
          <w:u w:val="dotted" w:color="231F20"/>
        </w:rPr>
        <w:t>Energieanlagen</w:t>
      </w:r>
      <w:r>
        <w:rPr>
          <w:rFonts w:ascii="Theinhardt Heavy"/>
          <w:b/>
          <w:color w:val="231F20"/>
          <w:sz w:val="18"/>
          <w:u w:val="dotted" w:color="231F20"/>
        </w:rPr>
        <w:t xml:space="preserve"> </w:t>
      </w:r>
      <w:r>
        <w:rPr>
          <w:rFonts w:ascii="Theinhardt Heavy"/>
          <w:b/>
          <w:color w:val="231F20"/>
          <w:sz w:val="18"/>
          <w:u w:val="dotted" w:color="231F20"/>
        </w:rPr>
        <w:tab/>
      </w:r>
      <w:r>
        <w:rPr>
          <w:rFonts w:ascii="Theinhardt Heavy"/>
          <w:b/>
          <w:color w:val="231F20"/>
          <w:spacing w:val="24"/>
          <w:sz w:val="18"/>
        </w:rPr>
        <w:t xml:space="preserve"> </w:t>
      </w:r>
      <w:r>
        <w:rPr>
          <w:rFonts w:ascii="Theinhardt Regular"/>
          <w:color w:val="231F20"/>
          <w:spacing w:val="-1"/>
          <w:sz w:val="18"/>
        </w:rPr>
        <w:t>Schweizer</w:t>
      </w:r>
      <w:r>
        <w:rPr>
          <w:rFonts w:ascii="Theinhardt Regular"/>
          <w:color w:val="231F20"/>
          <w:sz w:val="18"/>
        </w:rPr>
        <w:t xml:space="preserve"> </w:t>
      </w:r>
      <w:r>
        <w:rPr>
          <w:rFonts w:ascii="Theinhardt Regular"/>
          <w:color w:val="231F20"/>
          <w:spacing w:val="-1"/>
          <w:sz w:val="18"/>
        </w:rPr>
        <w:t>Solarpreis-Diplom</w:t>
      </w:r>
      <w:r>
        <w:rPr>
          <w:rFonts w:ascii="Theinhardt Regular"/>
          <w:color w:val="231F20"/>
          <w:spacing w:val="30"/>
          <w:sz w:val="18"/>
        </w:rPr>
        <w:t xml:space="preserve"> </w:t>
      </w:r>
      <w:r>
        <w:rPr>
          <w:rFonts w:ascii="Theinhardt Regular"/>
          <w:color w:val="231F20"/>
          <w:sz w:val="18"/>
        </w:rPr>
        <w:t>2021</w:t>
      </w:r>
    </w:p>
    <w:p w14:paraId="3CCC91BD" w14:textId="77777777" w:rsidR="002600FB" w:rsidRDefault="005C7C0C">
      <w:pPr>
        <w:spacing w:before="28" w:line="230" w:lineRule="exact"/>
        <w:ind w:left="131" w:right="114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1.5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MWp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Calinis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Felsberg/GR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wurde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2020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Betrieb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genommen.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eastAsia="Theinhardt Bold" w:hAnsi="Theinhardt Bold" w:cs="Theinhardt Bold"/>
          <w:b/>
          <w:bCs/>
          <w:color w:val="231F20"/>
          <w:spacing w:val="2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Fläche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7’400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position w:val="6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position w:val="6"/>
          <w:sz w:val="10"/>
          <w:szCs w:val="10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produziert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sie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1.6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GWh.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Sie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bildet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weiteren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>Schritt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231F20"/>
          <w:spacing w:val="4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Richtung des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langfristigen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Ziels das gesamte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Einzugsgebiet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Rhiienergie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als eine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ersten</w:t>
      </w:r>
      <w:r>
        <w:rPr>
          <w:rFonts w:ascii="Theinhardt Bold" w:eastAsia="Theinhardt Bold" w:hAnsi="Theinhardt Bold" w:cs="Theinhardt Bold"/>
          <w:b/>
          <w:bCs/>
          <w:color w:val="231F20"/>
          <w:spacing w:val="8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-freien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Regionen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Schweiz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zu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konzipieren.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Calinis-Anlage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nahm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weder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Kultur-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noch</w:t>
      </w:r>
      <w:r>
        <w:rPr>
          <w:rFonts w:ascii="Theinhardt Bold" w:eastAsia="Theinhardt Bold" w:hAnsi="Theinhardt Bold" w:cs="Theinhardt Bold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Landwirtschaftsland</w:t>
      </w:r>
      <w:r>
        <w:rPr>
          <w:rFonts w:ascii="Theinhardt Bold" w:eastAsia="Theinhardt Bold" w:hAnsi="Theinhardt Bold" w:cs="Theinhardt Bold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Anspruch.</w:t>
      </w:r>
      <w:r>
        <w:rPr>
          <w:rFonts w:ascii="Theinhardt Bold" w:eastAsia="Theinhardt Bold" w:hAnsi="Theinhardt Bold" w:cs="Theinhardt Bold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Projekt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entstand</w:t>
      </w:r>
      <w:r>
        <w:rPr>
          <w:rFonts w:ascii="Theinhardt Bold" w:eastAsia="Theinhardt Bold" w:hAnsi="Theinhardt Bold" w:cs="Theinhardt Bold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ehemaligen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Steinbruch,</w:t>
      </w:r>
      <w:r>
        <w:rPr>
          <w:rFonts w:ascii="Theinhardt Bold" w:eastAsia="Theinhardt Bold" w:hAnsi="Theinhardt Bold" w:cs="Theinhardt Bold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7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nach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Bergsturz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2001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geschlossen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wurde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nicht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anderweitig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verwendet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werden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>durfte.</w:t>
      </w:r>
      <w:r>
        <w:rPr>
          <w:rFonts w:ascii="Theinhardt Bold" w:eastAsia="Theinhardt Bold" w:hAnsi="Theinhardt Bold" w:cs="Theinhardt Bold"/>
          <w:b/>
          <w:bCs/>
          <w:color w:val="231F20"/>
          <w:spacing w:val="5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Calinis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reduziert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856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t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-</w:t>
      </w:r>
      <w:proofErr w:type="gram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Emissionen;</w:t>
      </w:r>
      <w:proofErr w:type="gramEnd"/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E-Verkehr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können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3’290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t</w:t>
      </w:r>
      <w:r>
        <w:rPr>
          <w:rFonts w:ascii="Theinhardt Bold" w:eastAsia="Theinhardt Bold" w:hAnsi="Theinhardt Bold" w:cs="Theinhardt Bold"/>
          <w:b/>
          <w:bCs/>
          <w:color w:val="231F20"/>
          <w:spacing w:val="58"/>
          <w:w w:val="9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12"/>
          <w:position w:val="-5"/>
          <w:sz w:val="10"/>
          <w:szCs w:val="10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Verkehrsemissionen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pro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Jahr reduziert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werden</w:t>
      </w:r>
    </w:p>
    <w:p w14:paraId="0EFFDCE0" w14:textId="77777777" w:rsidR="002600FB" w:rsidRDefault="002600FB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2600FB">
          <w:type w:val="continuous"/>
          <w:pgSz w:w="11910" w:h="16840"/>
          <w:pgMar w:top="840" w:right="720" w:bottom="280" w:left="440" w:header="720" w:footer="720" w:gutter="0"/>
          <w:cols w:num="2" w:space="720" w:equalWidth="0">
            <w:col w:w="2562" w:space="119"/>
            <w:col w:w="8069"/>
          </w:cols>
        </w:sectPr>
      </w:pPr>
    </w:p>
    <w:p w14:paraId="08C92F5B" w14:textId="77777777" w:rsidR="002600FB" w:rsidRDefault="002600FB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92A6F75" w14:textId="77777777" w:rsidR="002600FB" w:rsidRDefault="002600FB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2EC134C" w14:textId="77777777" w:rsidR="002600FB" w:rsidRDefault="002600FB">
      <w:pPr>
        <w:spacing w:before="1"/>
        <w:rPr>
          <w:rFonts w:ascii="Theinhardt Bold" w:eastAsia="Theinhardt Bold" w:hAnsi="Theinhardt Bold" w:cs="Theinhardt Bold"/>
          <w:b/>
          <w:bCs/>
          <w:sz w:val="26"/>
          <w:szCs w:val="26"/>
        </w:rPr>
      </w:pPr>
    </w:p>
    <w:p w14:paraId="25AD0CB3" w14:textId="77777777" w:rsidR="002600FB" w:rsidRDefault="005C7C0C">
      <w:pPr>
        <w:spacing w:before="5"/>
        <w:ind w:left="134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/>
          <w:b/>
          <w:color w:val="0067B1"/>
          <w:spacing w:val="2"/>
          <w:sz w:val="40"/>
        </w:rPr>
        <w:t>PV-Anlage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2"/>
          <w:sz w:val="40"/>
        </w:rPr>
        <w:t>Calinis,</w:t>
      </w:r>
      <w:r>
        <w:rPr>
          <w:rFonts w:ascii="Theinhardt Black"/>
          <w:b/>
          <w:color w:val="0067B1"/>
          <w:spacing w:val="-32"/>
          <w:sz w:val="40"/>
        </w:rPr>
        <w:t xml:space="preserve"> </w:t>
      </w:r>
      <w:r>
        <w:rPr>
          <w:rFonts w:ascii="Theinhardt Black"/>
          <w:b/>
          <w:color w:val="0067B1"/>
          <w:spacing w:val="-3"/>
          <w:sz w:val="40"/>
        </w:rPr>
        <w:t>7012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-2"/>
          <w:sz w:val="40"/>
        </w:rPr>
        <w:t>Felsberg/GR</w:t>
      </w:r>
    </w:p>
    <w:p w14:paraId="7ACCEA71" w14:textId="77777777" w:rsidR="002600FB" w:rsidRDefault="002600FB">
      <w:pPr>
        <w:spacing w:before="5"/>
        <w:rPr>
          <w:rFonts w:ascii="Theinhardt Black" w:eastAsia="Theinhardt Black" w:hAnsi="Theinhardt Black" w:cs="Theinhardt Black"/>
          <w:b/>
          <w:bCs/>
        </w:rPr>
      </w:pPr>
    </w:p>
    <w:p w14:paraId="224AF2D4" w14:textId="77777777" w:rsidR="002600FB" w:rsidRDefault="002600FB">
      <w:pPr>
        <w:rPr>
          <w:rFonts w:ascii="Theinhardt Black" w:eastAsia="Theinhardt Black" w:hAnsi="Theinhardt Black" w:cs="Theinhardt Black"/>
        </w:rPr>
        <w:sectPr w:rsidR="002600FB">
          <w:type w:val="continuous"/>
          <w:pgSz w:w="11910" w:h="16840"/>
          <w:pgMar w:top="840" w:right="720" w:bottom="280" w:left="440" w:header="720" w:footer="720" w:gutter="0"/>
          <w:cols w:space="720"/>
        </w:sectPr>
      </w:pPr>
    </w:p>
    <w:p w14:paraId="30527992" w14:textId="77777777" w:rsidR="002600FB" w:rsidRDefault="005C7C0C">
      <w:pPr>
        <w:pStyle w:val="Textkrper"/>
        <w:spacing w:before="71" w:line="230" w:lineRule="exact"/>
        <w:jc w:val="both"/>
      </w:pPr>
      <w:r>
        <w:rPr>
          <w:color w:val="231F20"/>
          <w:spacing w:val="-2"/>
        </w:rPr>
        <w:t>Die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PV-Anlage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Calinis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Felsberg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produziert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jährlich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1.6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GWh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auf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7’400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2"/>
          <w:position w:val="6"/>
          <w:sz w:val="10"/>
          <w:szCs w:val="10"/>
        </w:rPr>
        <w:t>2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Mit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diesem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Solarstrom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könnten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über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340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E-Autos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je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ein-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mal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Erde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3"/>
          <w:position w:val="-5"/>
          <w:sz w:val="10"/>
          <w:szCs w:val="10"/>
        </w:rPr>
        <w:t>2</w:t>
      </w:r>
      <w:r>
        <w:rPr>
          <w:color w:val="231F20"/>
          <w:spacing w:val="-3"/>
        </w:rPr>
        <w:t>-frei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umrunden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oder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1’140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E-Autos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12’000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km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emissionsfrei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fahren.</w:t>
      </w:r>
    </w:p>
    <w:p w14:paraId="670EA59C" w14:textId="77777777" w:rsidR="002600FB" w:rsidRDefault="005C7C0C">
      <w:pPr>
        <w:pStyle w:val="Textkrper"/>
        <w:spacing w:before="9"/>
        <w:ind w:left="360"/>
      </w:pPr>
      <w:proofErr w:type="gramStart"/>
      <w:r>
        <w:rPr>
          <w:color w:val="231F20"/>
          <w:spacing w:val="-2"/>
        </w:rPr>
        <w:t>Die</w:t>
      </w:r>
      <w:r>
        <w:rPr>
          <w:color w:val="231F20"/>
        </w:rPr>
        <w:t xml:space="preserve"> 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Rhiienergie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Versorgungsgemeinden</w:t>
      </w:r>
    </w:p>
    <w:p w14:paraId="37F44E21" w14:textId="77777777" w:rsidR="002600FB" w:rsidRDefault="005C7C0C">
      <w:pPr>
        <w:pStyle w:val="Textkrper"/>
        <w:spacing w:before="71" w:line="230" w:lineRule="exact"/>
        <w:jc w:val="both"/>
      </w:pPr>
      <w:r>
        <w:br w:type="column"/>
      </w:r>
      <w:r>
        <w:rPr>
          <w:color w:val="231F20"/>
          <w:spacing w:val="-2"/>
        </w:rPr>
        <w:t>Daraufhin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suchte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Gemeinde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nach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Gestal-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tungsideen.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Zusammenarbeit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mit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der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FH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Graubünden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entstand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das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Projekt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«Energie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statt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Wyy»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Anlehnung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den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Weinberg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Felsberg.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Zur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Wiederherstellung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Stein-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bruchareals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wurde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eine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Böschung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mit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einer</w:t>
      </w:r>
    </w:p>
    <w:p w14:paraId="32661684" w14:textId="77777777" w:rsidR="002600FB" w:rsidRDefault="005C7C0C">
      <w:pPr>
        <w:spacing w:before="67"/>
        <w:ind w:left="134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231F20"/>
          <w:sz w:val="14"/>
        </w:rPr>
        <w:t xml:space="preserve"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</w:p>
    <w:p w14:paraId="117A8738" w14:textId="77777777" w:rsidR="002600FB" w:rsidRDefault="002600FB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24A22AD7" w14:textId="77777777" w:rsidR="002600FB" w:rsidRDefault="005C7C0C">
      <w:pPr>
        <w:spacing w:line="20" w:lineRule="atLeast"/>
        <w:ind w:left="134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012D804C">
          <v:group id="_x0000_s1040" style="width:167.25pt;height:.45pt;mso-position-horizontal-relative:char;mso-position-vertical-relative:line" coordsize="3345,9">
            <v:group id="_x0000_s1045" style="position:absolute;left:21;top:4;width:3311;height:2" coordorigin="21,4" coordsize="3311,2">
              <v:shape id="_x0000_s1046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3" style="position:absolute;left:4;top:4;width:2;height:2" coordorigin="4,4" coordsize="2,2">
              <v:shape id="_x0000_s1044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1" style="position:absolute;left:3341;top:4;width:2;height:2" coordorigin="3341,4" coordsize="2,2">
              <v:shape id="_x0000_s1042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7C52361F" w14:textId="77777777" w:rsidR="002600FB" w:rsidRDefault="005C7C0C">
      <w:pPr>
        <w:tabs>
          <w:tab w:val="left" w:pos="1592"/>
          <w:tab w:val="left" w:pos="2144"/>
          <w:tab w:val="left" w:pos="3019"/>
        </w:tabs>
        <w:spacing w:before="20" w:line="172" w:lineRule="exact"/>
        <w:ind w:left="13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w w:val="95"/>
          <w:sz w:val="14"/>
        </w:rPr>
        <w:t>Energieproduktion</w:t>
      </w:r>
      <w:r>
        <w:rPr>
          <w:rFonts w:ascii="Theinhardt Bold"/>
          <w:b/>
          <w:color w:val="231F20"/>
          <w:spacing w:val="1"/>
          <w:w w:val="95"/>
          <w:sz w:val="14"/>
        </w:rPr>
        <w:tab/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position w:val="5"/>
          <w:sz w:val="8"/>
        </w:rPr>
        <w:tab/>
      </w:r>
      <w:r>
        <w:rPr>
          <w:rFonts w:ascii="Theinhardt Regular"/>
          <w:color w:val="231F20"/>
          <w:sz w:val="14"/>
        </w:rPr>
        <w:t>kWp</w:t>
      </w:r>
      <w:r>
        <w:rPr>
          <w:rFonts w:ascii="Theinhardt Regular"/>
          <w:color w:val="231F20"/>
          <w:sz w:val="14"/>
        </w:rPr>
        <w:tab/>
        <w:t>kWh/a</w:t>
      </w:r>
    </w:p>
    <w:p w14:paraId="78F3300E" w14:textId="77777777" w:rsidR="002600FB" w:rsidRDefault="005C7C0C">
      <w:pPr>
        <w:tabs>
          <w:tab w:val="left" w:pos="1386"/>
          <w:tab w:val="left" w:pos="2047"/>
          <w:tab w:val="left" w:pos="2772"/>
        </w:tabs>
        <w:spacing w:line="172" w:lineRule="exact"/>
        <w:ind w:left="134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Solarstrom:</w:t>
      </w:r>
      <w:r>
        <w:rPr>
          <w:rFonts w:ascii="Theinhardt Bold"/>
          <w:b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1"/>
          <w:sz w:val="14"/>
        </w:rPr>
        <w:t>7'400</w:t>
      </w:r>
      <w:r>
        <w:rPr>
          <w:rFonts w:ascii="Theinhardt Regular"/>
          <w:color w:val="231F20"/>
          <w:spacing w:val="-1"/>
          <w:sz w:val="14"/>
        </w:rPr>
        <w:tab/>
        <w:t>1'500</w:t>
      </w:r>
      <w:r>
        <w:rPr>
          <w:rFonts w:ascii="Theinhardt Regular"/>
          <w:color w:val="231F20"/>
          <w:spacing w:val="-1"/>
          <w:sz w:val="14"/>
        </w:rPr>
        <w:tab/>
      </w:r>
      <w:r>
        <w:rPr>
          <w:rFonts w:ascii="Theinhardt Bold"/>
          <w:b/>
          <w:color w:val="231F20"/>
          <w:spacing w:val="1"/>
          <w:sz w:val="14"/>
        </w:rPr>
        <w:t>1'585'000</w:t>
      </w:r>
    </w:p>
    <w:p w14:paraId="24877F66" w14:textId="77777777" w:rsidR="002600FB" w:rsidRDefault="005C7C0C">
      <w:pPr>
        <w:spacing w:before="55" w:line="172" w:lineRule="exact"/>
        <w:ind w:left="13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Rhiienergie</w:t>
      </w:r>
      <w:r>
        <w:rPr>
          <w:rFonts w:ascii="Theinhardt Bold" w:hAnsi="Theinhardt Bold"/>
          <w:b/>
          <w:color w:val="231F20"/>
          <w:sz w:val="14"/>
        </w:rPr>
        <w:t xml:space="preserve"> AG </w:t>
      </w:r>
      <w:r>
        <w:rPr>
          <w:rFonts w:ascii="Theinhardt Regular" w:hAnsi="Theinhardt Regular"/>
          <w:color w:val="231F20"/>
          <w:sz w:val="14"/>
        </w:rPr>
        <w:t xml:space="preserve">am 4. </w:t>
      </w:r>
      <w:r>
        <w:rPr>
          <w:rFonts w:ascii="Theinhardt Regular" w:hAnsi="Theinhardt Regular"/>
          <w:color w:val="231F20"/>
          <w:spacing w:val="1"/>
          <w:sz w:val="14"/>
        </w:rPr>
        <w:t>April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2021,</w:t>
      </w:r>
    </w:p>
    <w:p w14:paraId="7D2F3EB2" w14:textId="77777777" w:rsidR="002600FB" w:rsidRDefault="005C7C0C">
      <w:pPr>
        <w:spacing w:line="172" w:lineRule="exact"/>
        <w:ind w:left="13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 xml:space="preserve">Venanzi </w:t>
      </w:r>
      <w:r>
        <w:rPr>
          <w:rFonts w:ascii="Theinhardt Regular"/>
          <w:color w:val="231F20"/>
          <w:spacing w:val="1"/>
          <w:sz w:val="14"/>
        </w:rPr>
        <w:t>Pfister,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58 </w:t>
      </w:r>
      <w:r>
        <w:rPr>
          <w:rFonts w:ascii="Theinhardt Regular"/>
          <w:color w:val="231F20"/>
          <w:spacing w:val="-2"/>
          <w:sz w:val="14"/>
        </w:rPr>
        <w:t>477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64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51</w:t>
      </w:r>
    </w:p>
    <w:p w14:paraId="18854048" w14:textId="77777777" w:rsidR="002600FB" w:rsidRDefault="005C7C0C">
      <w:pPr>
        <w:spacing w:before="32"/>
        <w:ind w:left="13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(Vgl.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auch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Allg.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Rechtsbestimmungen</w:t>
      </w:r>
      <w:r>
        <w:rPr>
          <w:rFonts w:ascii="Theinhardt Regular"/>
          <w:color w:val="231F20"/>
          <w:sz w:val="14"/>
        </w:rPr>
        <w:t xml:space="preserve"> S </w:t>
      </w:r>
      <w:r>
        <w:rPr>
          <w:rFonts w:ascii="Theinhardt Regular"/>
          <w:color w:val="231F20"/>
          <w:spacing w:val="-4"/>
          <w:sz w:val="14"/>
        </w:rPr>
        <w:t>37,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3"/>
          <w:sz w:val="14"/>
        </w:rPr>
        <w:t>Ziff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15)</w:t>
      </w:r>
    </w:p>
    <w:p w14:paraId="4AFFC952" w14:textId="77777777" w:rsidR="002600FB" w:rsidRDefault="005C7C0C">
      <w:pPr>
        <w:spacing w:before="35" w:line="162" w:lineRule="exact"/>
        <w:ind w:left="134"/>
        <w:rPr>
          <w:rFonts w:ascii="Theinhardt Black" w:eastAsia="Theinhardt Black" w:hAnsi="Theinhardt Black" w:cs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 xml:space="preserve"> </w:t>
      </w:r>
      <w:r>
        <w:rPr>
          <w:rFonts w:ascii="Theinhardt Black"/>
          <w:b/>
          <w:color w:val="231F20"/>
          <w:spacing w:val="2"/>
          <w:sz w:val="14"/>
        </w:rPr>
        <w:t>Personen</w:t>
      </w:r>
    </w:p>
    <w:p w14:paraId="51DB2D59" w14:textId="77777777" w:rsidR="002600FB" w:rsidRDefault="002600FB">
      <w:pPr>
        <w:spacing w:line="162" w:lineRule="exact"/>
        <w:rPr>
          <w:rFonts w:ascii="Theinhardt Black" w:eastAsia="Theinhardt Black" w:hAnsi="Theinhardt Black" w:cs="Theinhardt Black"/>
          <w:sz w:val="14"/>
          <w:szCs w:val="14"/>
        </w:rPr>
        <w:sectPr w:rsidR="002600FB">
          <w:type w:val="continuous"/>
          <w:pgSz w:w="11910" w:h="16840"/>
          <w:pgMar w:top="840" w:right="720" w:bottom="280" w:left="440" w:header="720" w:footer="720" w:gutter="0"/>
          <w:cols w:num="3" w:space="720" w:equalWidth="0">
            <w:col w:w="3479" w:space="92"/>
            <w:col w:w="3480" w:space="92"/>
            <w:col w:w="3607"/>
          </w:cols>
        </w:sectPr>
      </w:pPr>
    </w:p>
    <w:p w14:paraId="60679203" w14:textId="77777777" w:rsidR="002600FB" w:rsidRDefault="005C7C0C">
      <w:pPr>
        <w:pStyle w:val="Textkrper"/>
        <w:spacing w:line="199" w:lineRule="exact"/>
      </w:pPr>
      <w:r>
        <w:rPr>
          <w:color w:val="231F20"/>
          <w:spacing w:val="-2"/>
        </w:rPr>
        <w:t>Rhäzüns,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Bonaduz,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Tamins,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Domat/Ems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und</w:t>
      </w:r>
    </w:p>
    <w:p w14:paraId="00595F66" w14:textId="77777777" w:rsidR="002600FB" w:rsidRDefault="005C7C0C">
      <w:pPr>
        <w:pStyle w:val="Textkrper"/>
        <w:tabs>
          <w:tab w:val="left" w:pos="3726"/>
          <w:tab w:val="left" w:pos="7037"/>
        </w:tabs>
        <w:spacing w:line="155" w:lineRule="exact"/>
      </w:pPr>
      <w:r>
        <w:br w:type="column"/>
      </w:r>
      <w:proofErr w:type="gramStart"/>
      <w:r>
        <w:rPr>
          <w:color w:val="231F20"/>
          <w:spacing w:val="-2"/>
        </w:rPr>
        <w:t>Hangneigung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von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30°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aufgeschüttet.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Das</w:t>
      </w:r>
      <w:r>
        <w:rPr>
          <w:color w:val="231F20"/>
        </w:rPr>
        <w:tab/>
        <w:t xml:space="preserve"> </w:t>
      </w:r>
      <w:r>
        <w:rPr>
          <w:color w:val="231F20"/>
        </w:rPr>
        <w:tab/>
      </w:r>
    </w:p>
    <w:p w14:paraId="7FAD8B84" w14:textId="77777777" w:rsidR="002600FB" w:rsidRDefault="005C7C0C">
      <w:pPr>
        <w:spacing w:line="75" w:lineRule="exact"/>
        <w:ind w:left="817"/>
        <w:jc w:val="center"/>
        <w:rPr>
          <w:rFonts w:ascii="Theinhardt Bold" w:eastAsia="Theinhardt Bold" w:hAnsi="Theinhardt Bold" w:cs="Theinhardt Bold"/>
          <w:sz w:val="14"/>
          <w:szCs w:val="14"/>
        </w:rPr>
      </w:pPr>
      <w:r>
        <w:pict w14:anchorId="499F979C">
          <v:group id="_x0000_s1033" style="position:absolute;left:0;text-align:left;margin-left:385.85pt;margin-top:-4.8pt;width:167.25pt;height:.45pt;z-index:-3928;mso-position-horizontal-relative:page" coordorigin="7717,-96" coordsize="3345,9">
            <v:group id="_x0000_s1038" style="position:absolute;left:7739;top:-92;width:3311;height:2" coordorigin="7739,-92" coordsize="3311,2">
              <v:shape id="_x0000_s1039" style="position:absolute;left:7739;top:-92;width:3311;height:2" coordorigin="7739,-92" coordsize="3311,0" path="m7739,-92r3310,e" filled="f" strokecolor="#231f20" strokeweight=".14994mm">
                <v:stroke dashstyle="dash"/>
                <v:path arrowok="t"/>
              </v:shape>
            </v:group>
            <v:group id="_x0000_s1036" style="position:absolute;left:7722;top:-92;width:2;height:2" coordorigin="7722,-92" coordsize="2,2">
              <v:shape id="_x0000_s1037" style="position:absolute;left:7722;top:-92;width:2;height:2" coordorigin="7722,-92" coordsize="0,0" path="m7722,-92r,e" filled="f" strokecolor="#231f20" strokeweight=".14994mm">
                <v:path arrowok="t"/>
              </v:shape>
            </v:group>
            <v:group id="_x0000_s1034" style="position:absolute;left:11058;top:-92;width:2;height:2" coordorigin="11058,-92" coordsize="2,2">
              <v:shape id="_x0000_s1035" style="position:absolute;left:11058;top:-92;width:2;height:2" coordorigin="11058,-92" coordsize="0,0" path="m11058,-92r,e" filled="f" strokecolor="#231f20" strokeweight=".14994mm">
                <v:path arrowok="t"/>
              </v:shape>
            </v:group>
            <w10:wrap anchorx="page"/>
          </v:group>
        </w:pict>
      </w:r>
      <w:r>
        <w:rPr>
          <w:rFonts w:ascii="Theinhardt Bold"/>
          <w:b/>
          <w:color w:val="231F20"/>
          <w:spacing w:val="2"/>
          <w:sz w:val="14"/>
        </w:rPr>
        <w:t>Standort</w:t>
      </w:r>
    </w:p>
    <w:p w14:paraId="3FCE4163" w14:textId="77777777" w:rsidR="002600FB" w:rsidRDefault="002600FB">
      <w:pPr>
        <w:spacing w:line="75" w:lineRule="exact"/>
        <w:jc w:val="center"/>
        <w:rPr>
          <w:rFonts w:ascii="Theinhardt Bold" w:eastAsia="Theinhardt Bold" w:hAnsi="Theinhardt Bold" w:cs="Theinhardt Bold"/>
          <w:sz w:val="14"/>
          <w:szCs w:val="14"/>
        </w:rPr>
        <w:sectPr w:rsidR="002600FB">
          <w:type w:val="continuous"/>
          <w:pgSz w:w="11910" w:h="16840"/>
          <w:pgMar w:top="840" w:right="720" w:bottom="280" w:left="440" w:header="720" w:footer="720" w:gutter="0"/>
          <w:cols w:num="2" w:space="720" w:equalWidth="0">
            <w:col w:w="3478" w:space="94"/>
            <w:col w:w="7178"/>
          </w:cols>
        </w:sectPr>
      </w:pPr>
    </w:p>
    <w:p w14:paraId="66AF538C" w14:textId="77777777" w:rsidR="002600FB" w:rsidRDefault="005C7C0C">
      <w:pPr>
        <w:pStyle w:val="Textkrper"/>
        <w:spacing w:line="195" w:lineRule="exact"/>
        <w:jc w:val="both"/>
      </w:pPr>
      <w:r>
        <w:rPr>
          <w:color w:val="231F20"/>
          <w:spacing w:val="-4"/>
        </w:rPr>
        <w:t>Felsberg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können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künftig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mindestens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50%</w:t>
      </w:r>
    </w:p>
    <w:p w14:paraId="6F2500DE" w14:textId="77777777" w:rsidR="002600FB" w:rsidRDefault="005C7C0C">
      <w:pPr>
        <w:pStyle w:val="Textkrper"/>
        <w:spacing w:before="2" w:line="232" w:lineRule="auto"/>
        <w:ind w:right="8"/>
        <w:jc w:val="both"/>
      </w:pPr>
      <w:r>
        <w:rPr>
          <w:color w:val="231F20"/>
          <w:spacing w:val="-3"/>
        </w:rPr>
        <w:t>ihres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gemeindeeigenen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Stroms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aus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Ca-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linis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Kraftwerk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beziehen.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Mit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der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Inbetrieb-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nahme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erhöht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sich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Solarstromproduktion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der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Region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der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Rhiienergie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auf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10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GWh/a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ein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Spitzenplatz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Schweiz.</w:t>
      </w:r>
    </w:p>
    <w:p w14:paraId="799F2AC6" w14:textId="77777777" w:rsidR="002600FB" w:rsidRDefault="005C7C0C">
      <w:pPr>
        <w:spacing w:before="4" w:line="226" w:lineRule="auto"/>
        <w:ind w:left="133" w:right="1" w:firstLine="226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" w:hAnsi="Theinhardt Regular"/>
          <w:color w:val="231F20"/>
          <w:spacing w:val="-1"/>
          <w:sz w:val="18"/>
        </w:rPr>
        <w:t>«Mit</w:t>
      </w:r>
      <w:r>
        <w:rPr>
          <w:rFonts w:ascii="Theinhardt Regular" w:hAnsi="Theinhardt Regular"/>
          <w:color w:val="231F20"/>
          <w:spacing w:val="-16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dieser</w:t>
      </w:r>
      <w:r>
        <w:rPr>
          <w:rFonts w:ascii="Theinhardt Regular" w:hAnsi="Theinhardt Regular"/>
          <w:color w:val="231F20"/>
          <w:spacing w:val="-16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beachtlichen</w:t>
      </w:r>
      <w:r>
        <w:rPr>
          <w:rFonts w:ascii="Theinhardt Regular" w:hAnsi="Theinhardt Regular"/>
          <w:color w:val="231F20"/>
          <w:spacing w:val="-16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Menge</w:t>
      </w:r>
      <w:r>
        <w:rPr>
          <w:rFonts w:ascii="Theinhardt Regular" w:hAnsi="Theinhardt Regular"/>
          <w:color w:val="231F20"/>
          <w:spacing w:val="-16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an</w:t>
      </w:r>
      <w:r>
        <w:rPr>
          <w:rFonts w:ascii="Theinhardt Regular" w:hAnsi="Theinhardt Regular"/>
          <w:color w:val="231F20"/>
          <w:spacing w:val="-16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erneu-</w:t>
      </w:r>
      <w:r>
        <w:rPr>
          <w:rFonts w:ascii="Theinhardt Regular" w:hAnsi="Theinhardt Regular"/>
          <w:color w:val="231F20"/>
          <w:spacing w:val="31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erbarer</w:t>
      </w:r>
      <w:r>
        <w:rPr>
          <w:rFonts w:ascii="Theinhardt Regular" w:hAnsi="Theinhardt Regular"/>
          <w:color w:val="231F20"/>
          <w:spacing w:val="-17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Energie</w:t>
      </w:r>
      <w:r>
        <w:rPr>
          <w:rFonts w:ascii="Theinhardt Regular" w:hAnsi="Theinhardt Regular"/>
          <w:color w:val="231F20"/>
          <w:spacing w:val="-17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werden</w:t>
      </w:r>
      <w:r>
        <w:rPr>
          <w:rFonts w:ascii="Theinhardt Regular" w:hAnsi="Theinhardt Regular"/>
          <w:color w:val="231F20"/>
          <w:spacing w:val="-17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wir</w:t>
      </w:r>
      <w:r>
        <w:rPr>
          <w:rFonts w:ascii="Theinhardt Regular" w:hAnsi="Theinhardt Regular"/>
          <w:color w:val="231F20"/>
          <w:spacing w:val="-17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langfristig</w:t>
      </w:r>
      <w:r>
        <w:rPr>
          <w:rFonts w:ascii="Theinhardt Regular" w:hAnsi="Theinhardt Regular"/>
          <w:color w:val="231F20"/>
          <w:spacing w:val="-17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mithel-</w:t>
      </w:r>
      <w:r>
        <w:rPr>
          <w:rFonts w:ascii="Theinhardt Regular" w:hAnsi="Theinhardt Regular"/>
          <w:color w:val="231F20"/>
          <w:spacing w:val="33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fen,</w:t>
      </w:r>
      <w:r>
        <w:rPr>
          <w:rFonts w:ascii="Theinhardt Regular" w:hAnsi="Theinhardt Regular"/>
          <w:color w:val="231F20"/>
          <w:spacing w:val="20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das</w:t>
      </w:r>
      <w:r>
        <w:rPr>
          <w:rFonts w:ascii="Theinhardt Regular" w:hAnsi="Theinhardt Regular"/>
          <w:color w:val="231F20"/>
          <w:spacing w:val="30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Einzugsgebiet</w:t>
      </w:r>
      <w:r>
        <w:rPr>
          <w:rFonts w:ascii="Theinhardt Regular" w:hAnsi="Theinhardt Regular"/>
          <w:color w:val="231F20"/>
          <w:spacing w:val="31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von</w:t>
      </w:r>
      <w:r>
        <w:rPr>
          <w:rFonts w:ascii="Theinhardt Regular" w:hAnsi="Theinhardt Regular"/>
          <w:color w:val="231F20"/>
          <w:spacing w:val="30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Rhiienergie</w:t>
      </w:r>
      <w:r>
        <w:rPr>
          <w:rFonts w:ascii="Theinhardt Regular" w:hAnsi="Theinhardt Regular"/>
          <w:color w:val="231F20"/>
          <w:spacing w:val="31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als</w:t>
      </w:r>
      <w:r>
        <w:rPr>
          <w:rFonts w:ascii="Theinhardt Regular" w:hAnsi="Theinhardt Regular"/>
          <w:color w:val="231F20"/>
          <w:spacing w:val="26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eine</w:t>
      </w:r>
      <w:r>
        <w:rPr>
          <w:rFonts w:ascii="Theinhardt Regular" w:hAnsi="Theinhardt Regular"/>
          <w:color w:val="231F20"/>
          <w:spacing w:val="3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der</w:t>
      </w:r>
      <w:r>
        <w:rPr>
          <w:rFonts w:ascii="Theinhardt Regular" w:hAnsi="Theinhardt Regular"/>
          <w:color w:val="231F20"/>
          <w:spacing w:val="3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ersten</w:t>
      </w:r>
      <w:r>
        <w:rPr>
          <w:rFonts w:ascii="Theinhardt Regular" w:hAnsi="Theinhardt Regular"/>
          <w:color w:val="231F20"/>
          <w:spacing w:val="3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Regionen</w:t>
      </w:r>
      <w:r>
        <w:rPr>
          <w:rFonts w:ascii="Theinhardt Regular" w:hAnsi="Theinhardt Regular"/>
          <w:color w:val="231F20"/>
          <w:spacing w:val="3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der</w:t>
      </w:r>
      <w:r>
        <w:rPr>
          <w:rFonts w:ascii="Theinhardt Regular" w:hAnsi="Theinhardt Regular"/>
          <w:color w:val="231F20"/>
          <w:spacing w:val="3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Schweiz</w:t>
      </w:r>
      <w:r>
        <w:rPr>
          <w:rFonts w:ascii="Theinhardt Regular" w:hAnsi="Theinhardt Regular"/>
          <w:color w:val="231F20"/>
          <w:spacing w:val="3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netto</w:t>
      </w:r>
      <w:r>
        <w:rPr>
          <w:rFonts w:ascii="Theinhardt Regular" w:hAnsi="Theinhardt Regular"/>
          <w:color w:val="231F20"/>
          <w:spacing w:val="33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CO</w:t>
      </w:r>
      <w:r>
        <w:rPr>
          <w:rFonts w:ascii="Theinhardt Regular" w:hAnsi="Theinhardt Regular"/>
          <w:color w:val="231F20"/>
          <w:spacing w:val="-3"/>
          <w:position w:val="-5"/>
          <w:sz w:val="10"/>
        </w:rPr>
        <w:t>2</w:t>
      </w:r>
      <w:r>
        <w:rPr>
          <w:rFonts w:ascii="Theinhardt Regular" w:hAnsi="Theinhardt Regular"/>
          <w:color w:val="231F20"/>
          <w:spacing w:val="-3"/>
          <w:sz w:val="18"/>
        </w:rPr>
        <w:t>-frei</w:t>
      </w:r>
      <w:r>
        <w:rPr>
          <w:rFonts w:ascii="Theinhardt Regular" w:hAnsi="Theinhardt Regular"/>
          <w:color w:val="231F20"/>
          <w:spacing w:val="-14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werden</w:t>
      </w:r>
      <w:r>
        <w:rPr>
          <w:rFonts w:ascii="Theinhardt Regular" w:hAnsi="Theinhardt Regular"/>
          <w:color w:val="231F20"/>
          <w:spacing w:val="-13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zu</w:t>
      </w:r>
      <w:r>
        <w:rPr>
          <w:rFonts w:ascii="Theinhardt Regular" w:hAnsi="Theinhardt Regular"/>
          <w:color w:val="231F20"/>
          <w:spacing w:val="-13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lassen»</w:t>
      </w:r>
      <w:r>
        <w:rPr>
          <w:rFonts w:ascii="Theinhardt Regular" w:hAnsi="Theinhardt Regular"/>
          <w:color w:val="231F20"/>
          <w:spacing w:val="-13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(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Markus</w:t>
      </w:r>
      <w:r>
        <w:rPr>
          <w:rFonts w:ascii="Theinhardt Regular Italic" w:hAnsi="Theinhardt Regular Italic"/>
          <w:i/>
          <w:color w:val="231F20"/>
          <w:spacing w:val="-14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6"/>
          <w:sz w:val="18"/>
        </w:rPr>
        <w:t>Feltscher,</w:t>
      </w:r>
      <w:r>
        <w:rPr>
          <w:rFonts w:ascii="Theinhardt Regular Italic" w:hAnsi="Theinhardt Regular Italic"/>
          <w:i/>
          <w:color w:val="231F20"/>
          <w:spacing w:val="29"/>
          <w:w w:val="99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Verwaltungsratspräsident</w:t>
      </w:r>
      <w:r>
        <w:rPr>
          <w:rFonts w:ascii="Theinhardt Regular Italic" w:hAnsi="Theinhardt Regular Italic"/>
          <w:i/>
          <w:color w:val="231F20"/>
          <w:spacing w:val="38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3"/>
          <w:sz w:val="18"/>
        </w:rPr>
        <w:t>der</w:t>
      </w:r>
      <w:r>
        <w:rPr>
          <w:rFonts w:ascii="Theinhardt Regular Italic" w:hAnsi="Theinhardt Regular Italic"/>
          <w:i/>
          <w:color w:val="231F20"/>
          <w:spacing w:val="38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Calanda</w:t>
      </w:r>
      <w:r>
        <w:rPr>
          <w:rFonts w:ascii="Theinhardt Regular Italic" w:hAnsi="Theinhardt Regular Italic"/>
          <w:i/>
          <w:color w:val="231F20"/>
          <w:spacing w:val="38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3"/>
          <w:sz w:val="18"/>
        </w:rPr>
        <w:t>Solar</w:t>
      </w:r>
    </w:p>
    <w:p w14:paraId="6A38DDF2" w14:textId="77777777" w:rsidR="002600FB" w:rsidRDefault="005C7C0C">
      <w:pPr>
        <w:pStyle w:val="Textkrper"/>
        <w:spacing w:before="1" w:line="232" w:lineRule="auto"/>
        <w:ind w:left="133" w:right="8"/>
        <w:jc w:val="both"/>
      </w:pPr>
      <w:r>
        <w:rPr>
          <w:rFonts w:ascii="Theinhardt Regular Italic" w:hAnsi="Theinhardt Regular Italic"/>
          <w:i/>
          <w:color w:val="231F20"/>
          <w:spacing w:val="-2"/>
        </w:rPr>
        <w:t>AG,</w:t>
      </w:r>
      <w:r>
        <w:rPr>
          <w:rFonts w:ascii="Theinhardt Regular Italic" w:hAnsi="Theinhardt Regular Italic"/>
          <w:i/>
          <w:color w:val="231F20"/>
          <w:spacing w:val="27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2"/>
        </w:rPr>
        <w:t>30.06.2020</w:t>
      </w:r>
      <w:r>
        <w:rPr>
          <w:color w:val="231F20"/>
          <w:spacing w:val="-2"/>
        </w:rPr>
        <w:t>).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Regierungsrat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Mario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Ca-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vigelli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bezeichnet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das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neue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Solarkraftwerk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aufgrund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seiner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hohen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Produktion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selbstbewussten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Platzierung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als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«Leucht-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2"/>
        </w:rPr>
        <w:t>turm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Akzelerator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für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Sonnenenergie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als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Technologie».</w:t>
      </w:r>
    </w:p>
    <w:p w14:paraId="22A77C09" w14:textId="77777777" w:rsidR="002600FB" w:rsidRDefault="005C7C0C">
      <w:pPr>
        <w:pStyle w:val="Textkrper"/>
        <w:spacing w:line="232" w:lineRule="auto"/>
        <w:ind w:firstLine="226"/>
        <w:jc w:val="both"/>
      </w:pPr>
      <w:r>
        <w:rPr>
          <w:color w:val="231F20"/>
          <w:spacing w:val="-4"/>
        </w:rPr>
        <w:t>Für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Solaranlage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wurde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kein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Landwirt-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spacing w:val="-3"/>
        </w:rPr>
        <w:t xml:space="preserve">schaftsland </w:t>
      </w:r>
      <w:r>
        <w:rPr>
          <w:color w:val="231F20"/>
          <w:spacing w:val="-1"/>
        </w:rPr>
        <w:t>verwendet,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sondern sie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entstand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einem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ehemaligen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Steinbruch,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der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4"/>
        </w:rPr>
        <w:t>nach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spacing w:val="-3"/>
        </w:rPr>
        <w:t>einem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Bergsturz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geschlossen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werden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musste.</w:t>
      </w:r>
    </w:p>
    <w:p w14:paraId="0E4E270F" w14:textId="77777777" w:rsidR="002600FB" w:rsidRDefault="005C7C0C">
      <w:pPr>
        <w:pStyle w:val="Textkrper"/>
        <w:spacing w:line="195" w:lineRule="exact"/>
        <w:ind w:left="133"/>
        <w:jc w:val="both"/>
      </w:pPr>
      <w:r>
        <w:br w:type="column"/>
      </w:r>
      <w:r>
        <w:rPr>
          <w:color w:val="231F20"/>
          <w:spacing w:val="-2"/>
        </w:rPr>
        <w:t>Schüttmaterial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stammt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aus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dem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Aushub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des</w:t>
      </w:r>
    </w:p>
    <w:p w14:paraId="673D305B" w14:textId="77777777" w:rsidR="002600FB" w:rsidRDefault="005C7C0C">
      <w:pPr>
        <w:pStyle w:val="Textkrper"/>
        <w:spacing w:before="1" w:line="232" w:lineRule="auto"/>
        <w:ind w:left="133"/>
        <w:jc w:val="both"/>
      </w:pPr>
      <w:r>
        <w:rPr>
          <w:color w:val="231F20"/>
          <w:spacing w:val="-3"/>
        </w:rPr>
        <w:t>neuen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Hauptgebäudes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H1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des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Kantonsspitals</w:t>
      </w:r>
      <w:r>
        <w:rPr>
          <w:color w:val="231F20"/>
          <w:spacing w:val="19"/>
          <w:w w:val="98"/>
        </w:rPr>
        <w:t xml:space="preserve"> </w:t>
      </w:r>
      <w:r>
        <w:rPr>
          <w:color w:val="231F20"/>
          <w:spacing w:val="-2"/>
        </w:rPr>
        <w:t>Graubünden.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Die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Solarmodule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sind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Meter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über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dem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Boden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installiert,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damit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Flora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Fauna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mit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der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Umgebung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vernetzt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blei-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ben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kann.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Für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1.5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MW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starke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PV-Anlage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entstand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raumplanerisch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explizit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ausge-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suchte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Energieparzelle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Nr.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1668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Felsberg.</w:t>
      </w:r>
    </w:p>
    <w:p w14:paraId="3174FEF5" w14:textId="77777777" w:rsidR="002600FB" w:rsidRDefault="002600FB">
      <w:pPr>
        <w:spacing w:before="4"/>
        <w:rPr>
          <w:rFonts w:ascii="Theinhardt Regular" w:eastAsia="Theinhardt Regular" w:hAnsi="Theinhardt Regular" w:cs="Theinhardt Regular"/>
          <w:sz w:val="16"/>
          <w:szCs w:val="16"/>
        </w:rPr>
      </w:pPr>
    </w:p>
    <w:p w14:paraId="7065C60E" w14:textId="77777777" w:rsidR="002600FB" w:rsidRDefault="005C7C0C">
      <w:pPr>
        <w:spacing w:line="230" w:lineRule="exact"/>
        <w:ind w:left="133" w:right="4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L’installation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1,5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MWc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située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Felsberg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w w:val="9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(GR)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été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mise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service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2020.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sur-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w w:val="9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face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7’400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m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elle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génère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1,6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GWh/a.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Il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s’agit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w w:val="9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d’une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nouvelle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étape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visant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faire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l’ensemble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w w:val="9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bassin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rhiienergie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l’une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premières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ré-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9"/>
          <w:w w:val="9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gions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8"/>
          <w:sz w:val="18"/>
          <w:szCs w:val="18"/>
        </w:rPr>
        <w:t xml:space="preserve"> </w:t>
      </w:r>
      <w:proofErr w:type="gram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zéro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carbone</w:t>
      </w:r>
      <w:proofErr w:type="gramEnd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Suisse.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centrale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w w:val="9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d’énergie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solaire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Calinis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dû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s’installer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w w:val="9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terrains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qui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n’étaient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ni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cultivés,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ni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zone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agri-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w w:val="9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cole.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projet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pris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forme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dans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ancienne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w w:val="9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carrière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dont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l’exploitation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a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pris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fin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suite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à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w w:val="9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glissement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terrain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2001.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Calinis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réduit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w w:val="9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856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émissions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CO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position w:val="-5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.</w:t>
      </w:r>
    </w:p>
    <w:p w14:paraId="0B6C0B1D" w14:textId="77777777" w:rsidR="002600FB" w:rsidRDefault="005C7C0C">
      <w:pPr>
        <w:spacing w:before="41"/>
        <w:ind w:left="133"/>
        <w:rPr>
          <w:rFonts w:ascii="Theinhardt Regular" w:eastAsia="Theinhardt Regular" w:hAnsi="Theinhardt Regular" w:cs="Theinhardt Regular"/>
          <w:sz w:val="14"/>
          <w:szCs w:val="14"/>
        </w:rPr>
      </w:pPr>
      <w:r>
        <w:br w:type="column"/>
      </w:r>
      <w:r>
        <w:rPr>
          <w:rFonts w:ascii="Theinhardt Regular"/>
          <w:color w:val="231F20"/>
          <w:spacing w:val="1"/>
          <w:sz w:val="14"/>
        </w:rPr>
        <w:t>Parzelle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1668,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7012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Felsberg</w:t>
      </w:r>
    </w:p>
    <w:p w14:paraId="4AF30D1C" w14:textId="77777777" w:rsidR="002600FB" w:rsidRDefault="005C7C0C">
      <w:pPr>
        <w:spacing w:before="55" w:line="172" w:lineRule="exact"/>
        <w:ind w:left="133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Eigentümerin</w:t>
      </w:r>
    </w:p>
    <w:p w14:paraId="694AC023" w14:textId="77777777" w:rsidR="002600FB" w:rsidRDefault="005C7C0C">
      <w:pPr>
        <w:spacing w:before="6" w:line="207" w:lineRule="auto"/>
        <w:ind w:left="133" w:right="29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Calanda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Solar</w:t>
      </w:r>
      <w:r>
        <w:rPr>
          <w:rFonts w:ascii="Theinhardt Regular"/>
          <w:color w:val="231F20"/>
          <w:sz w:val="14"/>
        </w:rPr>
        <w:t xml:space="preserve"> AG, </w:t>
      </w:r>
      <w:r>
        <w:rPr>
          <w:rFonts w:ascii="Theinhardt Regular"/>
          <w:color w:val="231F20"/>
          <w:spacing w:val="2"/>
          <w:sz w:val="14"/>
        </w:rPr>
        <w:t>Bongertweg</w:t>
      </w:r>
      <w:r>
        <w:rPr>
          <w:rFonts w:ascii="Theinhardt Regular"/>
          <w:color w:val="231F20"/>
          <w:sz w:val="14"/>
        </w:rPr>
        <w:t xml:space="preserve"> 8, </w:t>
      </w:r>
      <w:r>
        <w:rPr>
          <w:rFonts w:ascii="Theinhardt Regular"/>
          <w:color w:val="231F20"/>
          <w:spacing w:val="-3"/>
          <w:sz w:val="14"/>
        </w:rPr>
        <w:t>7012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Felsberg</w:t>
      </w:r>
      <w:r>
        <w:rPr>
          <w:rFonts w:ascii="Theinhardt Regular"/>
          <w:color w:val="231F20"/>
          <w:spacing w:val="44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81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650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22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50</w:t>
      </w:r>
    </w:p>
    <w:p w14:paraId="73B9FE2A" w14:textId="77777777" w:rsidR="002600FB" w:rsidRDefault="005C7C0C">
      <w:pPr>
        <w:spacing w:before="61" w:line="172" w:lineRule="exact"/>
        <w:ind w:left="133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Betreiber</w:t>
      </w:r>
    </w:p>
    <w:p w14:paraId="41589056" w14:textId="77777777" w:rsidR="002600FB" w:rsidRDefault="005C7C0C">
      <w:pPr>
        <w:spacing w:line="160" w:lineRule="exact"/>
        <w:ind w:left="133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Rhiienergie</w:t>
      </w:r>
      <w:r>
        <w:rPr>
          <w:rFonts w:ascii="Theinhardt Regular"/>
          <w:color w:val="231F20"/>
          <w:sz w:val="14"/>
        </w:rPr>
        <w:t xml:space="preserve"> AG, </w:t>
      </w:r>
      <w:r>
        <w:rPr>
          <w:rFonts w:ascii="Theinhardt Regular"/>
          <w:color w:val="231F20"/>
          <w:spacing w:val="1"/>
          <w:sz w:val="14"/>
        </w:rPr>
        <w:t>Energieweg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1,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7015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Tamins</w:t>
      </w:r>
    </w:p>
    <w:p w14:paraId="7DA60F7A" w14:textId="77777777" w:rsidR="002600FB" w:rsidRDefault="005C7C0C">
      <w:pPr>
        <w:spacing w:line="172" w:lineRule="exact"/>
        <w:ind w:left="133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81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650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22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50</w:t>
      </w:r>
    </w:p>
    <w:p w14:paraId="66ACAC29" w14:textId="77777777" w:rsidR="002600FB" w:rsidRDefault="005C7C0C">
      <w:pPr>
        <w:spacing w:before="55" w:line="172" w:lineRule="exact"/>
        <w:ind w:left="133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Planer</w:t>
      </w:r>
    </w:p>
    <w:p w14:paraId="09559004" w14:textId="77777777" w:rsidR="002600FB" w:rsidRDefault="005C7C0C">
      <w:pPr>
        <w:spacing w:before="6" w:line="207" w:lineRule="auto"/>
        <w:ind w:left="133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Fanzun</w:t>
      </w:r>
      <w:r>
        <w:rPr>
          <w:rFonts w:ascii="Theinhardt Regular" w:hAnsi="Theinhardt Regular"/>
          <w:color w:val="231F20"/>
          <w:sz w:val="14"/>
        </w:rPr>
        <w:t xml:space="preserve"> AG, </w:t>
      </w:r>
      <w:r>
        <w:rPr>
          <w:rFonts w:ascii="Theinhardt Regular" w:hAnsi="Theinhardt Regular"/>
          <w:color w:val="231F20"/>
          <w:spacing w:val="1"/>
          <w:sz w:val="14"/>
        </w:rPr>
        <w:t>René</w:t>
      </w:r>
      <w:r>
        <w:rPr>
          <w:rFonts w:ascii="Theinhardt Regular" w:hAnsi="Theinhardt Regular"/>
          <w:color w:val="231F20"/>
          <w:sz w:val="14"/>
        </w:rPr>
        <w:t xml:space="preserve"> Meier, </w:t>
      </w:r>
      <w:r>
        <w:rPr>
          <w:rFonts w:ascii="Theinhardt Regular" w:hAnsi="Theinhardt Regular"/>
          <w:color w:val="231F20"/>
          <w:spacing w:val="2"/>
          <w:sz w:val="14"/>
        </w:rPr>
        <w:t>Salvatorenstrasse</w:t>
      </w:r>
      <w:r>
        <w:rPr>
          <w:rFonts w:ascii="Theinhardt Regular" w:hAnsi="Theinhardt Regular"/>
          <w:color w:val="231F20"/>
          <w:sz w:val="14"/>
        </w:rPr>
        <w:t xml:space="preserve"> 66, </w:t>
      </w:r>
      <w:r>
        <w:rPr>
          <w:rFonts w:ascii="Theinhardt Regular" w:hAnsi="Theinhardt Regular"/>
          <w:color w:val="231F20"/>
          <w:spacing w:val="1"/>
          <w:sz w:val="14"/>
        </w:rPr>
        <w:t>7000</w:t>
      </w:r>
      <w:r>
        <w:rPr>
          <w:rFonts w:ascii="Theinhardt Regular" w:hAnsi="Theinhardt Regular"/>
          <w:color w:val="231F20"/>
          <w:spacing w:val="34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Chur,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58 </w:t>
      </w:r>
      <w:r>
        <w:rPr>
          <w:rFonts w:ascii="Theinhardt Regular" w:hAnsi="Theinhardt Regular"/>
          <w:color w:val="231F20"/>
          <w:spacing w:val="-5"/>
          <w:sz w:val="14"/>
        </w:rPr>
        <w:t>312</w:t>
      </w:r>
      <w:r>
        <w:rPr>
          <w:rFonts w:ascii="Theinhardt Regular" w:hAnsi="Theinhardt Regular"/>
          <w:color w:val="231F20"/>
          <w:spacing w:val="-21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88</w:t>
      </w:r>
      <w:r>
        <w:rPr>
          <w:rFonts w:ascii="Theinhardt Regular" w:hAnsi="Theinhardt Regular"/>
          <w:color w:val="231F20"/>
          <w:spacing w:val="-21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88</w:t>
      </w:r>
      <w:hyperlink r:id="rId5">
        <w:r>
          <w:rPr>
            <w:rFonts w:ascii="Theinhardt Regular" w:hAnsi="Theinhardt Regular"/>
            <w:color w:val="231F20"/>
            <w:spacing w:val="1"/>
            <w:sz w:val="14"/>
          </w:rPr>
          <w:t>,</w:t>
        </w:r>
        <w:r>
          <w:rPr>
            <w:rFonts w:ascii="Theinhardt Regular" w:hAnsi="Theinhardt Regular"/>
            <w:color w:val="231F20"/>
            <w:sz w:val="14"/>
          </w:rPr>
          <w:t xml:space="preserve"> </w:t>
        </w:r>
        <w:r>
          <w:rPr>
            <w:rFonts w:ascii="Theinhardt Regular" w:hAnsi="Theinhardt Regular"/>
            <w:color w:val="231F20"/>
            <w:spacing w:val="2"/>
            <w:sz w:val="14"/>
          </w:rPr>
          <w:t>info@fanzun.swiss</w:t>
        </w:r>
      </w:hyperlink>
    </w:p>
    <w:p w14:paraId="3282AB3E" w14:textId="77777777" w:rsidR="002600FB" w:rsidRDefault="005C7C0C">
      <w:pPr>
        <w:spacing w:before="61" w:line="172" w:lineRule="exact"/>
        <w:ind w:left="134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S</w:t>
      </w:r>
      <w:r>
        <w:rPr>
          <w:rFonts w:ascii="Theinhardt Bold"/>
          <w:b/>
          <w:color w:val="231F20"/>
          <w:spacing w:val="2"/>
          <w:sz w:val="14"/>
        </w:rPr>
        <w:t>ola</w:t>
      </w:r>
      <w:r>
        <w:rPr>
          <w:rFonts w:ascii="Theinhardt Bold"/>
          <w:b/>
          <w:color w:val="231F20"/>
          <w:spacing w:val="5"/>
          <w:sz w:val="14"/>
        </w:rPr>
        <w:t>r</w:t>
      </w:r>
      <w:r>
        <w:rPr>
          <w:rFonts w:ascii="Theinhardt Bold"/>
          <w:b/>
          <w:color w:val="231F20"/>
          <w:spacing w:val="1"/>
          <w:sz w:val="14"/>
        </w:rPr>
        <w:t>t</w:t>
      </w:r>
      <w:r>
        <w:rPr>
          <w:rFonts w:ascii="Theinhardt Bold"/>
          <w:b/>
          <w:color w:val="231F20"/>
          <w:spacing w:val="2"/>
          <w:sz w:val="14"/>
        </w:rPr>
        <w:t>e</w:t>
      </w:r>
      <w:r>
        <w:rPr>
          <w:rFonts w:ascii="Theinhardt Bold"/>
          <w:b/>
          <w:color w:val="231F20"/>
          <w:spacing w:val="1"/>
          <w:sz w:val="14"/>
        </w:rPr>
        <w:t>u</w:t>
      </w:r>
      <w:r>
        <w:rPr>
          <w:rFonts w:ascii="Theinhardt Bold"/>
          <w:b/>
          <w:color w:val="231F20"/>
          <w:sz w:val="14"/>
        </w:rPr>
        <w:t>r</w:t>
      </w:r>
    </w:p>
    <w:p w14:paraId="59F02F6E" w14:textId="77777777" w:rsidR="002600FB" w:rsidRDefault="005C7C0C">
      <w:pPr>
        <w:spacing w:before="6" w:line="207" w:lineRule="auto"/>
        <w:ind w:left="134" w:right="1102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ARGE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Planeco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GmbH</w:t>
      </w:r>
      <w:r>
        <w:rPr>
          <w:rFonts w:ascii="Theinhardt Regular" w:hAnsi="Theinhardt Regular"/>
          <w:color w:val="231F20"/>
          <w:sz w:val="14"/>
        </w:rPr>
        <w:t xml:space="preserve"> / </w:t>
      </w:r>
      <w:r>
        <w:rPr>
          <w:rFonts w:ascii="Theinhardt Regular" w:hAnsi="Theinhardt Regular"/>
          <w:color w:val="231F20"/>
          <w:spacing w:val="2"/>
          <w:sz w:val="14"/>
        </w:rPr>
        <w:t>Crestageo</w:t>
      </w:r>
      <w:r>
        <w:rPr>
          <w:rFonts w:ascii="Theinhardt Regular" w:hAnsi="Theinhardt Regular"/>
          <w:color w:val="231F20"/>
          <w:sz w:val="14"/>
        </w:rPr>
        <w:t xml:space="preserve"> AG,</w:t>
      </w:r>
      <w:r>
        <w:rPr>
          <w:rFonts w:ascii="Theinhardt Regular" w:hAnsi="Theinhardt Regular"/>
          <w:color w:val="231F20"/>
          <w:spacing w:val="32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Tramstrasse</w:t>
      </w:r>
      <w:r>
        <w:rPr>
          <w:rFonts w:ascii="Theinhardt Regular" w:hAnsi="Theinhardt Regular"/>
          <w:color w:val="231F20"/>
          <w:sz w:val="14"/>
        </w:rPr>
        <w:t xml:space="preserve"> 66, </w:t>
      </w:r>
      <w:r>
        <w:rPr>
          <w:rFonts w:ascii="Theinhardt Regular" w:hAnsi="Theinhardt Regular"/>
          <w:color w:val="231F20"/>
          <w:spacing w:val="-5"/>
          <w:sz w:val="14"/>
        </w:rPr>
        <w:t>4142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Münchenstein</w:t>
      </w:r>
    </w:p>
    <w:p w14:paraId="6E587ADB" w14:textId="77777777" w:rsidR="002600FB" w:rsidRDefault="005C7C0C">
      <w:pPr>
        <w:spacing w:line="167" w:lineRule="exact"/>
        <w:ind w:left="13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61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8"/>
          <w:sz w:val="14"/>
        </w:rPr>
        <w:t>411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25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2</w:t>
      </w:r>
      <w:hyperlink r:id="rId6">
        <w:r>
          <w:rPr>
            <w:rFonts w:ascii="Theinhardt Regular"/>
            <w:color w:val="231F20"/>
            <w:spacing w:val="-1"/>
            <w:sz w:val="14"/>
          </w:rPr>
          <w:t>3,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1"/>
            <w:sz w:val="14"/>
          </w:rPr>
          <w:t>info@planeco.ch,</w:t>
        </w:r>
      </w:hyperlink>
    </w:p>
    <w:p w14:paraId="536E12FA" w14:textId="77777777" w:rsidR="002600FB" w:rsidRDefault="005C7C0C">
      <w:pPr>
        <w:spacing w:before="55" w:line="172" w:lineRule="exact"/>
        <w:ind w:left="134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Baurechtsgeber</w:t>
      </w:r>
    </w:p>
    <w:p w14:paraId="40DADE8E" w14:textId="77777777" w:rsidR="002600FB" w:rsidRDefault="005C7C0C">
      <w:pPr>
        <w:spacing w:line="172" w:lineRule="exact"/>
        <w:ind w:left="13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Politische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Gemeinde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Felsberg,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7012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Felsberg</w:t>
      </w:r>
    </w:p>
    <w:p w14:paraId="2798D058" w14:textId="77777777" w:rsidR="002600FB" w:rsidRDefault="005C7C0C">
      <w:pPr>
        <w:spacing w:before="52" w:line="172" w:lineRule="exact"/>
        <w:ind w:left="134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Promotoren</w:t>
      </w:r>
    </w:p>
    <w:p w14:paraId="2C7D82E2" w14:textId="77777777" w:rsidR="002600FB" w:rsidRDefault="005C7C0C">
      <w:pPr>
        <w:spacing w:line="160" w:lineRule="exact"/>
        <w:ind w:left="13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 xml:space="preserve">Per </w:t>
      </w:r>
      <w:proofErr w:type="gramStart"/>
      <w:r>
        <w:rPr>
          <w:rFonts w:ascii="Theinhardt Regular" w:hAnsi="Theinhardt Regular"/>
          <w:color w:val="231F20"/>
          <w:spacing w:val="1"/>
          <w:sz w:val="14"/>
        </w:rPr>
        <w:t>Sandven</w:t>
      </w:r>
      <w:r>
        <w:rPr>
          <w:rFonts w:ascii="Theinhardt Regular" w:hAnsi="Theinhardt Regular"/>
          <w:color w:val="231F20"/>
          <w:sz w:val="14"/>
        </w:rPr>
        <w:t xml:space="preserve"> ,</w:t>
      </w:r>
      <w:proofErr w:type="gram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</w:p>
    <w:p w14:paraId="6612D371" w14:textId="77777777" w:rsidR="002600FB" w:rsidRDefault="005C7C0C">
      <w:pPr>
        <w:spacing w:line="172" w:lineRule="exact"/>
        <w:ind w:left="134"/>
        <w:rPr>
          <w:rFonts w:ascii="Theinhardt Regular" w:eastAsia="Theinhardt Regular" w:hAnsi="Theinhardt Regular" w:cs="Theinhardt Regular"/>
          <w:sz w:val="14"/>
          <w:szCs w:val="14"/>
        </w:rPr>
      </w:pPr>
      <w:r>
        <w:pict w14:anchorId="0A8817C3">
          <v:group id="_x0000_s1026" style="position:absolute;left:0;text-align:left;margin-left:385.85pt;margin-top:13.4pt;width:167.25pt;height:.45pt;z-index:1168;mso-position-horizontal-relative:page" coordorigin="7717,268" coordsize="3345,9">
            <v:group id="_x0000_s1031" style="position:absolute;left:7739;top:273;width:3311;height:2" coordorigin="7739,273" coordsize="3311,2">
              <v:shape id="_x0000_s1032" style="position:absolute;left:7739;top:273;width:3311;height:2" coordorigin="7739,273" coordsize="3311,0" path="m7739,273r3310,e" filled="f" strokecolor="#231f20" strokeweight=".14994mm">
                <v:stroke dashstyle="dash"/>
                <v:path arrowok="t"/>
              </v:shape>
            </v:group>
            <v:group id="_x0000_s1029" style="position:absolute;left:7722;top:273;width:2;height:2" coordorigin="7722,273" coordsize="2,2">
              <v:shape id="_x0000_s1030" style="position:absolute;left:7722;top:273;width:2;height:2" coordorigin="7722,273" coordsize="0,0" path="m7722,273r,e" filled="f" strokecolor="#231f20" strokeweight=".14994mm">
                <v:path arrowok="t"/>
              </v:shape>
            </v:group>
            <v:group id="_x0000_s1027" style="position:absolute;left:11058;top:273;width:2;height:2" coordorigin="11058,273" coordsize="2,2">
              <v:shape id="_x0000_s1028" style="position:absolute;left:11058;top:273;width:2;height:2" coordorigin="11058,273" coordsize="0,0" path="m11058,273r,e" filled="f" strokecolor="#231f20" strokeweight=".14994mm">
                <v:path arrowok="t"/>
              </v:shape>
            </v:group>
            <w10:wrap anchorx="page"/>
          </v:group>
        </w:pict>
      </w:r>
      <w:r>
        <w:rPr>
          <w:rFonts w:ascii="Theinhardt Regular" w:hAnsi="Theinhardt Regular"/>
          <w:color w:val="231F20"/>
          <w:spacing w:val="2"/>
          <w:sz w:val="14"/>
        </w:rPr>
        <w:t>Markus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Feltscher,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VR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Präsident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Felsberg</w:t>
      </w:r>
    </w:p>
    <w:p w14:paraId="7B4690DB" w14:textId="77777777" w:rsidR="002600FB" w:rsidRDefault="002600FB">
      <w:pPr>
        <w:spacing w:line="172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2600FB">
          <w:type w:val="continuous"/>
          <w:pgSz w:w="11910" w:h="16840"/>
          <w:pgMar w:top="840" w:right="720" w:bottom="280" w:left="440" w:header="720" w:footer="720" w:gutter="0"/>
          <w:cols w:num="3" w:space="720" w:equalWidth="0">
            <w:col w:w="3490" w:space="82"/>
            <w:col w:w="3487" w:space="85"/>
            <w:col w:w="3606"/>
          </w:cols>
        </w:sectPr>
      </w:pPr>
    </w:p>
    <w:p w14:paraId="5D301698" w14:textId="77777777" w:rsidR="002600FB" w:rsidRDefault="002600FB">
      <w:pPr>
        <w:spacing w:before="1"/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18DFBAEF" w14:textId="77777777" w:rsidR="002600FB" w:rsidRDefault="005C7C0C">
      <w:pPr>
        <w:tabs>
          <w:tab w:val="left" w:pos="7277"/>
        </w:tabs>
        <w:spacing w:line="200" w:lineRule="atLeast"/>
        <w:ind w:left="126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/>
          <w:noProof/>
          <w:sz w:val="20"/>
        </w:rPr>
        <w:drawing>
          <wp:inline distT="0" distB="0" distL="0" distR="0" wp14:anchorId="22045BD9" wp14:editId="1C445CAA">
            <wp:extent cx="4399478" cy="1902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478" cy="190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sz w:val="20"/>
        </w:rPr>
        <w:tab/>
      </w:r>
      <w:r>
        <w:rPr>
          <w:rFonts w:ascii="Theinhardt Regular"/>
          <w:noProof/>
          <w:sz w:val="20"/>
        </w:rPr>
        <w:drawing>
          <wp:inline distT="0" distB="0" distL="0" distR="0" wp14:anchorId="05A3AE84" wp14:editId="736ABFBD">
            <wp:extent cx="2125589" cy="19004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589" cy="190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32403" w14:textId="77777777" w:rsidR="002600FB" w:rsidRDefault="005C7C0C">
      <w:pPr>
        <w:tabs>
          <w:tab w:val="left" w:pos="7277"/>
        </w:tabs>
        <w:spacing w:before="11"/>
        <w:ind w:left="12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b/>
          <w:color w:val="231F20"/>
          <w:sz w:val="14"/>
        </w:rPr>
        <w:tab/>
        <w:t>2</w:t>
      </w:r>
    </w:p>
    <w:p w14:paraId="2B5961FB" w14:textId="77777777" w:rsidR="002600FB" w:rsidRDefault="002600FB">
      <w:pPr>
        <w:rPr>
          <w:rFonts w:ascii="Theinhardt Bold" w:eastAsia="Theinhardt Bold" w:hAnsi="Theinhardt Bold" w:cs="Theinhardt Bold"/>
          <w:sz w:val="14"/>
          <w:szCs w:val="14"/>
        </w:rPr>
        <w:sectPr w:rsidR="002600FB">
          <w:type w:val="continuous"/>
          <w:pgSz w:w="11910" w:h="16840"/>
          <w:pgMar w:top="840" w:right="720" w:bottom="280" w:left="440" w:header="720" w:footer="720" w:gutter="0"/>
          <w:cols w:space="720"/>
        </w:sectPr>
      </w:pPr>
    </w:p>
    <w:p w14:paraId="1F109A53" w14:textId="77777777" w:rsidR="002600FB" w:rsidRDefault="002600FB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</w:p>
    <w:p w14:paraId="5AFD2835" w14:textId="77777777" w:rsidR="002600FB" w:rsidRDefault="005C7C0C">
      <w:pPr>
        <w:numPr>
          <w:ilvl w:val="0"/>
          <w:numId w:val="1"/>
        </w:numPr>
        <w:tabs>
          <w:tab w:val="left" w:pos="347"/>
        </w:tabs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Die</w:t>
      </w:r>
      <w:r>
        <w:rPr>
          <w:rFonts w:ascii="Theinhardt Bold" w:hAnsi="Theinhardt Bold"/>
          <w:b/>
          <w:color w:val="231F20"/>
          <w:spacing w:val="12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PV-Anlage</w:t>
      </w:r>
      <w:r>
        <w:rPr>
          <w:rFonts w:ascii="Theinhardt Bold" w:hAnsi="Theinhardt Bold"/>
          <w:b/>
          <w:color w:val="231F20"/>
          <w:spacing w:val="13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befindet</w:t>
      </w:r>
      <w:r>
        <w:rPr>
          <w:rFonts w:ascii="Theinhardt Bold" w:hAnsi="Theinhardt Bold"/>
          <w:b/>
          <w:color w:val="231F20"/>
          <w:spacing w:val="13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sich</w:t>
      </w:r>
      <w:r>
        <w:rPr>
          <w:rFonts w:ascii="Theinhardt Bold" w:hAnsi="Theinhardt Bold"/>
          <w:b/>
          <w:color w:val="231F20"/>
          <w:spacing w:val="13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in</w:t>
      </w:r>
      <w:r>
        <w:rPr>
          <w:rFonts w:ascii="Theinhardt Bold" w:hAnsi="Theinhardt Bold"/>
          <w:b/>
          <w:color w:val="231F20"/>
          <w:spacing w:val="12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einem</w:t>
      </w:r>
      <w:r>
        <w:rPr>
          <w:rFonts w:ascii="Theinhardt Bold" w:hAnsi="Theinhardt Bold"/>
          <w:b/>
          <w:color w:val="231F20"/>
          <w:spacing w:val="13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ehemaligen</w:t>
      </w:r>
      <w:r>
        <w:rPr>
          <w:rFonts w:ascii="Theinhardt Bold" w:hAnsi="Theinhardt Bold"/>
          <w:b/>
          <w:color w:val="231F20"/>
          <w:spacing w:val="13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Steinbruch</w:t>
      </w:r>
      <w:r>
        <w:rPr>
          <w:rFonts w:ascii="Theinhardt Bold" w:hAnsi="Theinhardt Bold"/>
          <w:b/>
          <w:color w:val="231F20"/>
          <w:spacing w:val="13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vis</w:t>
      </w:r>
      <w:r>
        <w:rPr>
          <w:rFonts w:ascii="Theinhardt Bold" w:hAnsi="Theinhardt Bold"/>
          <w:b/>
          <w:color w:val="231F20"/>
          <w:spacing w:val="13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à</w:t>
      </w:r>
      <w:r>
        <w:rPr>
          <w:rFonts w:ascii="Theinhardt Bold" w:hAnsi="Theinhardt Bold"/>
          <w:b/>
          <w:color w:val="231F20"/>
          <w:spacing w:val="12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vis</w:t>
      </w:r>
      <w:r>
        <w:rPr>
          <w:rFonts w:ascii="Theinhardt Bold" w:hAnsi="Theinhardt Bold"/>
          <w:b/>
          <w:color w:val="231F20"/>
          <w:spacing w:val="13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pacing w:val="13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Gemeinde</w:t>
      </w:r>
      <w:r>
        <w:rPr>
          <w:rFonts w:ascii="Theinhardt Bold" w:hAnsi="Theinhardt Bold"/>
          <w:b/>
          <w:color w:val="231F20"/>
          <w:spacing w:val="13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Felsberg,</w:t>
      </w:r>
      <w:r>
        <w:rPr>
          <w:rFonts w:ascii="Theinhardt Bold" w:hAnsi="Theinhardt Bold"/>
          <w:b/>
          <w:color w:val="231F20"/>
          <w:spacing w:val="7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pacing w:val="13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aus</w:t>
      </w:r>
      <w:r>
        <w:rPr>
          <w:rFonts w:ascii="Theinhardt Bold" w:hAnsi="Theinhardt Bold"/>
          <w:b/>
          <w:color w:val="231F20"/>
          <w:spacing w:val="6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Sicherheitsgründen geschlossen </w:t>
      </w:r>
      <w:r>
        <w:rPr>
          <w:rFonts w:ascii="Theinhardt Bold" w:hAnsi="Theinhardt Bold"/>
          <w:b/>
          <w:color w:val="231F20"/>
          <w:spacing w:val="-1"/>
          <w:sz w:val="14"/>
        </w:rPr>
        <w:t>wurde.</w:t>
      </w:r>
    </w:p>
    <w:p w14:paraId="3CFC7316" w14:textId="77777777" w:rsidR="002600FB" w:rsidRDefault="005C7C0C">
      <w:pPr>
        <w:spacing w:before="9"/>
        <w:rPr>
          <w:rFonts w:ascii="Theinhardt Bold" w:eastAsia="Theinhardt Bold" w:hAnsi="Theinhardt Bold" w:cs="Theinhardt Bold"/>
          <w:b/>
          <w:bCs/>
          <w:sz w:val="11"/>
          <w:szCs w:val="11"/>
        </w:rPr>
      </w:pPr>
      <w:r>
        <w:br w:type="column"/>
      </w:r>
    </w:p>
    <w:p w14:paraId="3BD7FA2B" w14:textId="77777777" w:rsidR="002600FB" w:rsidRDefault="005C7C0C">
      <w:pPr>
        <w:numPr>
          <w:ilvl w:val="0"/>
          <w:numId w:val="1"/>
        </w:numPr>
        <w:tabs>
          <w:tab w:val="left" w:pos="347"/>
        </w:tabs>
        <w:spacing w:line="160" w:lineRule="exact"/>
        <w:ind w:right="115"/>
        <w:rPr>
          <w:rFonts w:ascii="Theinhardt Bold" w:eastAsia="Theinhardt Bold" w:hAnsi="Theinhardt Bold" w:cs="Theinhardt Bold"/>
          <w:sz w:val="14"/>
          <w:szCs w:val="14"/>
        </w:rPr>
      </w:pPr>
      <w:proofErr w:type="gramStart"/>
      <w:r>
        <w:rPr>
          <w:rFonts w:ascii="Theinhardt Bold" w:hAnsi="Theinhardt Bold"/>
          <w:b/>
          <w:color w:val="231F20"/>
          <w:spacing w:val="-1"/>
          <w:sz w:val="14"/>
        </w:rPr>
        <w:t>Für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9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das</w:t>
      </w:r>
      <w:proofErr w:type="gramEnd"/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9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Schüttmaterial </w:t>
      </w:r>
      <w:r>
        <w:rPr>
          <w:rFonts w:ascii="Theinhardt Bold" w:hAnsi="Theinhardt Bold"/>
          <w:b/>
          <w:color w:val="231F20"/>
          <w:spacing w:val="9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wurde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9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Aushubmaterial</w:t>
      </w:r>
      <w:r>
        <w:rPr>
          <w:rFonts w:ascii="Theinhardt Bold" w:hAnsi="Theinhardt Bold"/>
          <w:b/>
          <w:color w:val="231F20"/>
          <w:spacing w:val="24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des Kantonsspital-Neubaus von Chur verwendet.</w:t>
      </w:r>
    </w:p>
    <w:p w14:paraId="67A52207" w14:textId="77777777" w:rsidR="002600FB" w:rsidRDefault="002600FB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2600FB">
          <w:type w:val="continuous"/>
          <w:pgSz w:w="11910" w:h="16840"/>
          <w:pgMar w:top="840" w:right="720" w:bottom="280" w:left="440" w:header="720" w:footer="720" w:gutter="0"/>
          <w:cols w:num="2" w:space="720" w:equalWidth="0">
            <w:col w:w="7037" w:space="120"/>
            <w:col w:w="3593"/>
          </w:cols>
        </w:sectPr>
      </w:pPr>
    </w:p>
    <w:p w14:paraId="451761A6" w14:textId="77777777" w:rsidR="002600FB" w:rsidRDefault="002600FB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D0A07DB" w14:textId="77777777" w:rsidR="002600FB" w:rsidRDefault="002600FB">
      <w:pPr>
        <w:spacing w:before="3"/>
        <w:rPr>
          <w:rFonts w:ascii="Theinhardt Bold" w:eastAsia="Theinhardt Bold" w:hAnsi="Theinhardt Bold" w:cs="Theinhardt Bold"/>
          <w:b/>
          <w:bCs/>
          <w:sz w:val="16"/>
          <w:szCs w:val="16"/>
        </w:rPr>
      </w:pPr>
    </w:p>
    <w:p w14:paraId="74DC1B45" w14:textId="77777777" w:rsidR="002600FB" w:rsidRDefault="005C7C0C">
      <w:pPr>
        <w:spacing w:before="70"/>
        <w:ind w:left="12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 xml:space="preserve">82    </w:t>
      </w:r>
      <w:r>
        <w:rPr>
          <w:rFonts w:ascii="Theinhardt Heavy"/>
          <w:b/>
          <w:color w:val="231F20"/>
          <w:spacing w:val="7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</w:t>
      </w:r>
    </w:p>
    <w:sectPr w:rsidR="002600FB">
      <w:type w:val="continuous"/>
      <w:pgSz w:w="11910" w:h="16840"/>
      <w:pgMar w:top="840" w:right="7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5F1F"/>
    <w:multiLevelType w:val="hybridMultilevel"/>
    <w:tmpl w:val="D9A87D2A"/>
    <w:lvl w:ilvl="0" w:tplc="1EA87C54">
      <w:start w:val="1"/>
      <w:numFmt w:val="decimal"/>
      <w:lvlText w:val="%1"/>
      <w:lvlJc w:val="left"/>
      <w:pPr>
        <w:ind w:left="346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0A5E21C0">
      <w:start w:val="1"/>
      <w:numFmt w:val="bullet"/>
      <w:lvlText w:val="•"/>
      <w:lvlJc w:val="left"/>
      <w:pPr>
        <w:ind w:left="1015" w:hanging="227"/>
      </w:pPr>
      <w:rPr>
        <w:rFonts w:hint="default"/>
      </w:rPr>
    </w:lvl>
    <w:lvl w:ilvl="2" w:tplc="4AA4C95A">
      <w:start w:val="1"/>
      <w:numFmt w:val="bullet"/>
      <w:lvlText w:val="•"/>
      <w:lvlJc w:val="left"/>
      <w:pPr>
        <w:ind w:left="1684" w:hanging="227"/>
      </w:pPr>
      <w:rPr>
        <w:rFonts w:hint="default"/>
      </w:rPr>
    </w:lvl>
    <w:lvl w:ilvl="3" w:tplc="048A8C7E">
      <w:start w:val="1"/>
      <w:numFmt w:val="bullet"/>
      <w:lvlText w:val="•"/>
      <w:lvlJc w:val="left"/>
      <w:pPr>
        <w:ind w:left="2353" w:hanging="227"/>
      </w:pPr>
      <w:rPr>
        <w:rFonts w:hint="default"/>
      </w:rPr>
    </w:lvl>
    <w:lvl w:ilvl="4" w:tplc="52A2A0FA">
      <w:start w:val="1"/>
      <w:numFmt w:val="bullet"/>
      <w:lvlText w:val="•"/>
      <w:lvlJc w:val="left"/>
      <w:pPr>
        <w:ind w:left="3022" w:hanging="227"/>
      </w:pPr>
      <w:rPr>
        <w:rFonts w:hint="default"/>
      </w:rPr>
    </w:lvl>
    <w:lvl w:ilvl="5" w:tplc="1FCE731E">
      <w:start w:val="1"/>
      <w:numFmt w:val="bullet"/>
      <w:lvlText w:val="•"/>
      <w:lvlJc w:val="left"/>
      <w:pPr>
        <w:ind w:left="3691" w:hanging="227"/>
      </w:pPr>
      <w:rPr>
        <w:rFonts w:hint="default"/>
      </w:rPr>
    </w:lvl>
    <w:lvl w:ilvl="6" w:tplc="B8C29448">
      <w:start w:val="1"/>
      <w:numFmt w:val="bullet"/>
      <w:lvlText w:val="•"/>
      <w:lvlJc w:val="left"/>
      <w:pPr>
        <w:ind w:left="4360" w:hanging="227"/>
      </w:pPr>
      <w:rPr>
        <w:rFonts w:hint="default"/>
      </w:rPr>
    </w:lvl>
    <w:lvl w:ilvl="7" w:tplc="3CA8620E">
      <w:start w:val="1"/>
      <w:numFmt w:val="bullet"/>
      <w:lvlText w:val="•"/>
      <w:lvlJc w:val="left"/>
      <w:pPr>
        <w:ind w:left="5029" w:hanging="227"/>
      </w:pPr>
      <w:rPr>
        <w:rFonts w:hint="default"/>
      </w:rPr>
    </w:lvl>
    <w:lvl w:ilvl="8" w:tplc="11BC9BEA">
      <w:start w:val="1"/>
      <w:numFmt w:val="bullet"/>
      <w:lvlText w:val="•"/>
      <w:lvlJc w:val="left"/>
      <w:pPr>
        <w:ind w:left="569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0FB"/>
    <w:rsid w:val="002600FB"/>
    <w:rsid w:val="005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;"/>
  <w14:docId w14:val="07331370"/>
  <w15:docId w15:val="{A6BB7EBA-DA08-438E-AD11-C08B5F10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4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aneco.ch" TargetMode="External"/><Relationship Id="rId5" Type="http://schemas.openxmlformats.org/officeDocument/2006/relationships/hyperlink" Target="mailto:info@fanzun.swi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2021-10-19T13:54:00Z</dcterms:created>
  <dcterms:modified xsi:type="dcterms:W3CDTF">2021-10-19T11:55:00Z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