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5728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072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326pt;width:.1pt;height:.1pt;mso-position-horizontal-relative:page;mso-position-vertical-relative:paragraph;z-index:-5680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326pt;width:.1pt;height:.1pt;mso-position-horizontal-relative:page;mso-position-vertical-relative:paragraph;z-index:1120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  <w:u w:val="dotted" w:color="231F20"/>
        </w:rPr>
        <w:t>Kategorie   </w:t>
      </w:r>
      <w:r>
        <w:rPr>
          <w:rFonts w:ascii="Theinhardt Heavy"/>
          <w:b/>
          <w:color w:val="231F20"/>
          <w:spacing w:val="9"/>
          <w:sz w:val="18"/>
          <w:u w:val="dotted" w:color="231F20"/>
        </w:rPr>
        <w:t> </w:t>
      </w:r>
      <w:r>
        <w:rPr>
          <w:rFonts w:ascii="Theinhardt Heavy"/>
          <w:b/>
          <w:color w:val="231F20"/>
          <w:sz w:val="18"/>
          <w:u w:val="dotted" w:color="231F20"/>
        </w:rPr>
        <w:t>C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</w:rPr>
        <w:t> </w:t>
      </w:r>
      <w:r>
        <w:rPr>
          <w:rFonts w:ascii="Theinhardt Heavy"/>
          <w:b/>
          <w:color w:val="231F20"/>
          <w:spacing w:val="-1"/>
          <w:sz w:val="18"/>
          <w:u w:val="dotted" w:color="231F20"/>
        </w:rPr>
        <w:t>Energieanlagen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pacing w:val="24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Schweizer</w:t>
      </w:r>
      <w:r>
        <w:rPr>
          <w:rFonts w:ascii="Theinhardt Regular"/>
          <w:color w:val="231F20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Solarpreis</w:t>
      </w:r>
      <w:r>
        <w:rPr>
          <w:rFonts w:ascii="Theinhardt Regular"/>
          <w:color w:val="231F20"/>
          <w:sz w:val="18"/>
        </w:rPr>
        <w:t> 2021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Werke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Stadt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Wädenswil/ZH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wurden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2019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erweitert.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Rahmen</w:t>
      </w:r>
      <w:r>
        <w:rPr>
          <w:rFonts w:ascii="Theinhardt Bold" w:hAnsi="Theinhardt Bold" w:cs="Theinhardt Bold" w:eastAsia="Theinhardt Bold"/>
          <w:b/>
          <w:bCs/>
          <w:color w:val="231F20"/>
          <w:spacing w:val="5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dieser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Sanierung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entstand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ein neues Solardach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 einer ganzflächig integrierten 140 kW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star-</w:t>
      </w:r>
      <w:r>
        <w:rPr>
          <w:rFonts w:ascii="Theinhardt Bold" w:hAnsi="Theinhardt Bold" w:cs="Theinhardt Bold" w:eastAsia="Theinhardt Bold"/>
          <w:b/>
          <w:bCs/>
          <w:color w:val="231F20"/>
          <w:spacing w:val="3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ken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PV-Anlage.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128’800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semitransparente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Solardach</w:t>
      </w:r>
      <w:r>
        <w:rPr>
          <w:rFonts w:ascii="Theinhardt Bold" w:hAnsi="Theinhardt Bold" w:cs="Theinhardt Bold" w:eastAsia="Theinhardt Bold"/>
          <w:b/>
          <w:bCs/>
          <w:color w:val="231F20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lässt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natürliches</w:t>
      </w:r>
      <w:r>
        <w:rPr>
          <w:rFonts w:ascii="Theinhardt Bold" w:hAnsi="Theinhardt Bold" w:cs="Theinhardt Bold" w:eastAsia="Theinhardt Bold"/>
          <w:b/>
          <w:bCs/>
          <w:color w:val="231F20"/>
          <w:spacing w:val="-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Tageslicht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offene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Entsorgungsstelle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einfallen.</w:t>
      </w:r>
      <w:r>
        <w:rPr>
          <w:rFonts w:ascii="Theinhardt Bold" w:hAnsi="Theinhardt Bold" w:cs="Theinhardt Bold" w:eastAsia="Theinhardt Bold"/>
          <w:b/>
          <w:bCs/>
          <w:color w:val="231F20"/>
          <w:spacing w:val="-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Werke</w:t>
      </w:r>
      <w:r>
        <w:rPr>
          <w:rFonts w:ascii="Theinhardt Bold" w:hAnsi="Theinhardt Bold" w:cs="Theinhardt Bold" w:eastAsia="Theinhardt Bold"/>
          <w:b/>
          <w:bCs/>
          <w:color w:val="231F20"/>
          <w:spacing w:val="101"/>
          <w:w w:val="9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Wädenswil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liegt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68’300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solarbetriebene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Entsorgungspark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somit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Eigen-</w:t>
      </w:r>
      <w:r>
        <w:rPr>
          <w:rFonts w:ascii="Theinhardt Bold" w:hAnsi="Theinhardt Bold" w:cs="Theinhardt Bold" w:eastAsia="Theinhardt Bold"/>
          <w:b/>
          <w:bCs/>
          <w:color w:val="231F20"/>
          <w:spacing w:val="88"/>
          <w:w w:val="9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189%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Bildung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Eigenverbrauchs-Gemeinschaft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werden</w:t>
      </w:r>
      <w:r>
        <w:rPr>
          <w:rFonts w:ascii="Theinhardt Bold" w:hAnsi="Theinhardt Bold" w:cs="Theinhardt Bold" w:eastAsia="Theinhardt Bold"/>
          <w:b/>
          <w:bCs/>
          <w:color w:val="231F20"/>
          <w:spacing w:val="9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erzeugte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benachbarten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Gebäuden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genutzt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Eigennutzungsgrad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6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 optimiert.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z w:val="40"/>
        </w:rPr>
        <w:t>Solar</w:t>
      </w:r>
      <w:r>
        <w:rPr>
          <w:rFonts w:ascii="Theinhardt Black" w:hAnsi="Theinhardt Black"/>
          <w:b/>
          <w:color w:val="0067B1"/>
          <w:spacing w:val="-64"/>
          <w:sz w:val="40"/>
        </w:rPr>
        <w:t> </w:t>
      </w:r>
      <w:r>
        <w:rPr>
          <w:rFonts w:ascii="Theinhardt Black" w:hAnsi="Theinhardt Black"/>
          <w:b/>
          <w:color w:val="0067B1"/>
          <w:spacing w:val="1"/>
          <w:sz w:val="40"/>
        </w:rPr>
        <w:t>versorgter</w:t>
      </w:r>
      <w:r>
        <w:rPr>
          <w:rFonts w:ascii="Theinhardt Black" w:hAnsi="Theinhardt Black"/>
          <w:b/>
          <w:color w:val="0067B1"/>
          <w:spacing w:val="-63"/>
          <w:sz w:val="40"/>
        </w:rPr>
        <w:t> </w:t>
      </w:r>
      <w:r>
        <w:rPr>
          <w:rFonts w:ascii="Theinhardt Black" w:hAnsi="Theinhardt Black"/>
          <w:b/>
          <w:color w:val="0067B1"/>
          <w:spacing w:val="1"/>
          <w:sz w:val="40"/>
        </w:rPr>
        <w:t>Entsorgungspark</w:t>
      </w:r>
      <w:r>
        <w:rPr>
          <w:rFonts w:ascii="Theinhardt Black" w:hAnsi="Theinhardt Black"/>
          <w:b/>
          <w:color w:val="0067B1"/>
          <w:spacing w:val="-63"/>
          <w:sz w:val="40"/>
        </w:rPr>
        <w:t> </w:t>
      </w:r>
      <w:r>
        <w:rPr>
          <w:rFonts w:ascii="Theinhardt Black" w:hAnsi="Theinhardt Black"/>
          <w:b/>
          <w:color w:val="0067B1"/>
          <w:spacing w:val="-1"/>
          <w:sz w:val="40"/>
        </w:rPr>
        <w:t>Wädenswil,</w:t>
      </w:r>
      <w:r>
        <w:rPr>
          <w:rFonts w:ascii="Theinhardt Black" w:hAnsi="Theinhardt Black"/>
          <w:b/>
          <w:color w:val="0067B1"/>
          <w:spacing w:val="-72"/>
          <w:sz w:val="40"/>
        </w:rPr>
        <w:t> </w:t>
      </w:r>
      <w:r>
        <w:rPr>
          <w:rFonts w:ascii="Theinhardt Black" w:hAnsi="Theinhardt Black"/>
          <w:b/>
          <w:color w:val="0067B1"/>
          <w:spacing w:val="-3"/>
          <w:sz w:val="40"/>
        </w:rPr>
        <w:t>8820/ZH</w:t>
      </w:r>
      <w:r>
        <w:rPr>
          <w:rFonts w:ascii="Theinhardt Black" w:hAnsi="Theinhardt Black"/>
          <w:sz w:val="40"/>
        </w:rPr>
      </w:r>
    </w:p>
    <w:p>
      <w:pPr>
        <w:spacing w:line="240" w:lineRule="auto" w:before="12"/>
        <w:rPr>
          <w:rFonts w:ascii="Theinhardt Black" w:hAnsi="Theinhardt Black" w:cs="Theinhardt Black" w:eastAsia="Theinhardt Black"/>
          <w:b/>
          <w:bCs/>
          <w:sz w:val="22"/>
          <w:szCs w:val="22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2"/>
          <w:szCs w:val="22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64"/>
        <w:ind w:right="8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Werke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</w:t>
      </w:r>
      <w:r>
        <w:rPr>
          <w:color w:val="231F20"/>
        </w:rPr>
        <w:t>Stadt</w:t>
      </w:r>
      <w:r>
        <w:rPr>
          <w:color w:val="231F20"/>
          <w:spacing w:val="-2"/>
        </w:rPr>
        <w:t> </w:t>
      </w:r>
      <w:r>
        <w:rPr>
          <w:color w:val="231F20"/>
        </w:rPr>
        <w:t>Wädenswil/ZH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wurden</w:t>
      </w:r>
      <w:r>
        <w:rPr>
          <w:color w:val="231F20"/>
          <w:spacing w:val="28"/>
        </w:rPr>
        <w:t> </w:t>
      </w:r>
      <w:r>
        <w:rPr>
          <w:color w:val="231F20"/>
        </w:rPr>
        <w:t>2019</w:t>
      </w:r>
      <w:r>
        <w:rPr>
          <w:color w:val="231F20"/>
          <w:spacing w:val="10"/>
        </w:rPr>
        <w:t> </w:t>
      </w:r>
      <w:r>
        <w:rPr>
          <w:color w:val="231F20"/>
        </w:rPr>
        <w:t>saniert</w:t>
      </w:r>
      <w:r>
        <w:rPr>
          <w:color w:val="231F20"/>
          <w:spacing w:val="10"/>
        </w:rPr>
        <w:t> </w:t>
      </w:r>
      <w:r>
        <w:rPr>
          <w:color w:val="231F20"/>
        </w:rPr>
        <w:t>und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erweitert.</w:t>
      </w:r>
      <w:r>
        <w:rPr>
          <w:color w:val="231F20"/>
          <w:spacing w:val="47"/>
        </w:rPr>
        <w:t> </w:t>
      </w:r>
      <w:r>
        <w:rPr>
          <w:color w:val="231F20"/>
        </w:rPr>
        <w:t>Im</w:t>
      </w:r>
      <w:r>
        <w:rPr>
          <w:color w:val="231F20"/>
          <w:spacing w:val="10"/>
        </w:rPr>
        <w:t> </w:t>
      </w:r>
      <w:r>
        <w:rPr>
          <w:color w:val="231F20"/>
        </w:rPr>
        <w:t>Rahmen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dieser</w:t>
      </w:r>
      <w:r>
        <w:rPr>
          <w:color w:val="231F20"/>
          <w:spacing w:val="10"/>
        </w:rPr>
        <w:t> </w:t>
      </w:r>
      <w:r>
        <w:rPr>
          <w:color w:val="231F20"/>
        </w:rPr>
        <w:t>Arbeiten</w:t>
      </w:r>
      <w:r>
        <w:rPr>
          <w:color w:val="231F20"/>
          <w:spacing w:val="10"/>
        </w:rPr>
        <w:t> </w:t>
      </w:r>
      <w:r>
        <w:rPr>
          <w:color w:val="231F20"/>
        </w:rPr>
        <w:t>entstand</w:t>
      </w:r>
      <w:r>
        <w:rPr>
          <w:color w:val="231F20"/>
          <w:spacing w:val="10"/>
        </w:rPr>
        <w:t> </w:t>
      </w:r>
      <w:r>
        <w:rPr>
          <w:color w:val="231F20"/>
        </w:rPr>
        <w:t>auch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neue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Entsorgungspark</w:t>
      </w:r>
      <w:r>
        <w:rPr>
          <w:color w:val="231F20"/>
          <w:spacing w:val="14"/>
        </w:rPr>
        <w:t> </w:t>
      </w:r>
      <w:r>
        <w:rPr>
          <w:color w:val="231F20"/>
        </w:rPr>
        <w:t>mit</w:t>
      </w:r>
      <w:r>
        <w:rPr>
          <w:color w:val="231F20"/>
          <w:spacing w:val="14"/>
        </w:rPr>
        <w:t> </w:t>
      </w:r>
      <w:r>
        <w:rPr>
          <w:color w:val="231F20"/>
        </w:rPr>
        <w:t>einem</w:t>
      </w:r>
      <w:r>
        <w:rPr>
          <w:color w:val="231F20"/>
          <w:spacing w:val="14"/>
        </w:rPr>
        <w:t> </w:t>
      </w:r>
      <w:r>
        <w:rPr>
          <w:color w:val="231F20"/>
        </w:rPr>
        <w:t>vorbildlichen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Solardach.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</w:rPr>
        <w:t>Um</w:t>
      </w:r>
      <w:r>
        <w:rPr>
          <w:color w:val="231F20"/>
          <w:spacing w:val="36"/>
        </w:rPr>
        <w:t> </w:t>
      </w:r>
      <w:r>
        <w:rPr>
          <w:color w:val="231F20"/>
        </w:rPr>
        <w:t>einen</w:t>
      </w:r>
      <w:r>
        <w:rPr>
          <w:color w:val="231F20"/>
          <w:spacing w:val="37"/>
        </w:rPr>
        <w:t> </w:t>
      </w:r>
      <w:r>
        <w:rPr>
          <w:color w:val="231F20"/>
        </w:rPr>
        <w:t>Beitrag</w:t>
      </w:r>
      <w:r>
        <w:rPr>
          <w:color w:val="231F20"/>
          <w:spacing w:val="36"/>
        </w:rPr>
        <w:t> </w:t>
      </w:r>
      <w:r>
        <w:rPr>
          <w:color w:val="231F20"/>
        </w:rPr>
        <w:t>zur 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Energiewende</w:t>
      </w:r>
      <w:r>
        <w:rPr>
          <w:color w:val="231F20"/>
          <w:spacing w:val="21"/>
        </w:rPr>
        <w:t> </w:t>
      </w:r>
      <w:r>
        <w:rPr>
          <w:color w:val="231F20"/>
        </w:rPr>
        <w:t>zu</w:t>
      </w:r>
      <w:r>
        <w:rPr>
          <w:color w:val="231F20"/>
          <w:spacing w:val="12"/>
        </w:rPr>
        <w:t> </w:t>
      </w:r>
      <w:r>
        <w:rPr>
          <w:color w:val="231F20"/>
        </w:rPr>
        <w:t>leisten,</w:t>
      </w:r>
      <w:r>
        <w:rPr>
          <w:color w:val="231F20"/>
          <w:spacing w:val="1"/>
        </w:rPr>
        <w:t> </w:t>
      </w:r>
      <w:r>
        <w:rPr>
          <w:color w:val="231F20"/>
        </w:rPr>
        <w:t>erstellte</w:t>
      </w:r>
      <w:r>
        <w:rPr>
          <w:color w:val="231F20"/>
          <w:spacing w:val="12"/>
        </w:rPr>
        <w:t> </w:t>
      </w:r>
      <w:r>
        <w:rPr>
          <w:color w:val="231F20"/>
        </w:rPr>
        <w:t>die</w:t>
      </w:r>
      <w:r>
        <w:rPr>
          <w:color w:val="231F20"/>
          <w:spacing w:val="12"/>
        </w:rPr>
        <w:t> </w:t>
      </w:r>
      <w:r>
        <w:rPr>
          <w:color w:val="231F20"/>
        </w:rPr>
        <w:t>Stadt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Wädenswil</w:t>
      </w:r>
      <w:r>
        <w:rPr>
          <w:color w:val="231F20"/>
          <w:spacing w:val="24"/>
        </w:rPr>
        <w:t> </w:t>
      </w:r>
      <w:r>
        <w:rPr>
          <w:color w:val="231F20"/>
        </w:rPr>
        <w:t>eine</w:t>
      </w:r>
      <w:r>
        <w:rPr>
          <w:color w:val="231F20"/>
          <w:spacing w:val="46"/>
        </w:rPr>
        <w:t> </w:t>
      </w:r>
      <w:r>
        <w:rPr>
          <w:color w:val="231F20"/>
        </w:rPr>
        <w:t>möglichst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grosse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Solaranlage.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Diese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soll</w:t>
      </w:r>
      <w:r>
        <w:rPr>
          <w:color w:val="231F20"/>
          <w:spacing w:val="23"/>
        </w:rPr>
        <w:t> </w:t>
      </w:r>
      <w:r>
        <w:rPr>
          <w:color w:val="231F20"/>
        </w:rPr>
        <w:t>nicht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nur</w:t>
      </w:r>
      <w:r>
        <w:rPr>
          <w:color w:val="231F20"/>
          <w:spacing w:val="23"/>
        </w:rPr>
        <w:t> </w:t>
      </w:r>
      <w:r>
        <w:rPr>
          <w:color w:val="231F20"/>
        </w:rPr>
        <w:t>den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Eigenenergiebedarf</w:t>
      </w:r>
      <w:r>
        <w:rPr>
          <w:color w:val="231F20"/>
          <w:spacing w:val="23"/>
        </w:rPr>
        <w:t> </w:t>
      </w:r>
      <w:r>
        <w:rPr>
          <w:color w:val="231F20"/>
        </w:rPr>
        <w:t>von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68’300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</w:rPr>
        <w:t>  der </w:t>
      </w:r>
      <w:r>
        <w:rPr>
          <w:color w:val="231F20"/>
          <w:spacing w:val="-3"/>
        </w:rPr>
        <w:t>Werke</w:t>
      </w:r>
      <w:r>
        <w:rPr>
          <w:color w:val="231F20"/>
        </w:rPr>
        <w:t> </w:t>
      </w:r>
      <w:r>
        <w:rPr>
          <w:color w:val="231F20"/>
          <w:spacing w:val="-1"/>
        </w:rPr>
        <w:t>selbst</w:t>
      </w:r>
      <w:r>
        <w:rPr>
          <w:color w:val="231F20"/>
        </w:rPr>
        <w:t> </w:t>
      </w:r>
      <w:r>
        <w:rPr>
          <w:color w:val="231F20"/>
          <w:spacing w:val="-1"/>
        </w:rPr>
        <w:t>decken,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sondern</w:t>
      </w:r>
      <w:r>
        <w:rPr>
          <w:color w:val="231F20"/>
          <w:spacing w:val="34"/>
        </w:rPr>
        <w:t> </w:t>
      </w:r>
      <w:r>
        <w:rPr>
          <w:color w:val="231F20"/>
        </w:rPr>
        <w:t>auch</w:t>
      </w:r>
      <w:r>
        <w:rPr>
          <w:color w:val="231F20"/>
          <w:spacing w:val="35"/>
        </w:rPr>
        <w:t> </w:t>
      </w:r>
      <w:r>
        <w:rPr>
          <w:color w:val="231F20"/>
        </w:rPr>
        <w:t>einen</w:t>
      </w:r>
      <w:r>
        <w:rPr>
          <w:color w:val="231F20"/>
          <w:spacing w:val="34"/>
        </w:rPr>
        <w:t> </w:t>
      </w:r>
      <w:r>
        <w:rPr>
          <w:color w:val="231F20"/>
        </w:rPr>
        <w:t>möglichst</w:t>
      </w:r>
      <w:r>
        <w:rPr>
          <w:color w:val="231F20"/>
          <w:spacing w:val="35"/>
        </w:rPr>
        <w:t> </w:t>
      </w:r>
      <w:r>
        <w:rPr>
          <w:color w:val="231F20"/>
        </w:rPr>
        <w:t>hohen</w:t>
      </w:r>
      <w:r>
        <w:rPr>
          <w:color w:val="231F20"/>
          <w:spacing w:val="35"/>
        </w:rPr>
        <w:t> </w:t>
      </w:r>
      <w:r>
        <w:rPr>
          <w:color w:val="231F20"/>
        </w:rPr>
        <w:t>So-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larstromüberschuss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produzieren,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</w:rPr>
        <w:t>um </w:t>
      </w:r>
      <w:r>
        <w:rPr>
          <w:color w:val="231F20"/>
          <w:spacing w:val="39"/>
        </w:rPr>
        <w:t> </w:t>
      </w:r>
      <w:r>
        <w:rPr>
          <w:color w:val="231F20"/>
        </w:rPr>
        <w:t>die</w:t>
      </w:r>
      <w:r>
        <w:rPr/>
      </w:r>
    </w:p>
    <w:p>
      <w:pPr>
        <w:spacing w:line="230" w:lineRule="exact" w:before="64"/>
        <w:ind w:left="106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L’infrastructure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détenue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Stadt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Wädens-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wil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Werke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(ZH)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assainie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étendue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2019.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profité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travaux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créer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déchetterie,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dotée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remarquable.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ville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Wädenswil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voulait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déployer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grand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possible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afin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marquer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contribution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transition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éner-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gétique.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Celui-ci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devait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assurer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l’ensemble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site,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68’300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mais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alimenter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attenants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à un surplus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élevé.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67"/>
        <w:ind w:left="106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694" w:val="left" w:leader="none"/>
        </w:tabs>
        <w:spacing w:line="16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1'440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      </w:t>
      </w:r>
      <w:r>
        <w:rPr>
          <w:rFonts w:ascii="Theinhardt Regular"/>
          <w:color w:val="231F20"/>
          <w:spacing w:val="5"/>
          <w:sz w:val="14"/>
        </w:rPr>
        <w:t> </w:t>
      </w:r>
      <w:r>
        <w:rPr>
          <w:rFonts w:ascii="Theinhardt Regular"/>
          <w:color w:val="231F20"/>
          <w:sz w:val="14"/>
        </w:rPr>
        <w:t>%       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1991" w:val="left" w:leader="none"/>
        </w:tabs>
        <w:spacing w:line="172" w:lineRule="exact" w:before="0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Gesamt-EB:</w:t>
        <w:tab/>
      </w:r>
      <w:r>
        <w:rPr>
          <w:rFonts w:ascii="Theinhardt Regular"/>
          <w:color w:val="231F20"/>
          <w:spacing w:val="-5"/>
          <w:sz w:val="14"/>
        </w:rPr>
        <w:t>47.4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35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100</w:t>
      </w:r>
      <w:r>
        <w:rPr>
          <w:rFonts w:ascii="Theinhardt Regular"/>
          <w:color w:val="231F20"/>
          <w:sz w:val="14"/>
        </w:rPr>
        <w:t>      </w:t>
      </w:r>
      <w:r>
        <w:rPr>
          <w:rFonts w:ascii="Theinhardt Regular"/>
          <w:color w:val="231F20"/>
          <w:spacing w:val="6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68'260</w:t>
      </w:r>
      <w:r>
        <w:rPr>
          <w:rFonts w:ascii="Theinhardt Bold"/>
          <w:sz w:val="14"/>
        </w:rPr>
      </w:r>
    </w:p>
    <w:p>
      <w:pPr>
        <w:spacing w:line="172" w:lineRule="exact" w:before="32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Eigen-EV:</w:t>
      </w:r>
      <w:r>
        <w:rPr>
          <w:rFonts w:ascii="Theinhardt Regular"/>
          <w:color w:val="231F20"/>
          <w:sz w:val="14"/>
        </w:rPr>
        <w:t>     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position w:val="5"/>
          <w:sz w:val="8"/>
        </w:rPr>
        <w:t>       </w:t>
      </w:r>
      <w:r>
        <w:rPr>
          <w:rFonts w:ascii="Theinhardt Regular"/>
          <w:color w:val="231F20"/>
          <w:spacing w:val="12"/>
          <w:position w:val="5"/>
          <w:sz w:val="8"/>
        </w:rPr>
        <w:t> </w:t>
      </w:r>
      <w:r>
        <w:rPr>
          <w:rFonts w:ascii="Theinhardt Regular"/>
          <w:color w:val="231F20"/>
          <w:sz w:val="14"/>
        </w:rPr>
        <w:t>kWp </w:t>
      </w:r>
      <w:r>
        <w:rPr>
          <w:rFonts w:ascii="Theinhardt Regular"/>
          <w:color w:val="231F20"/>
          <w:spacing w:val="37"/>
          <w:sz w:val="14"/>
        </w:rPr>
        <w:t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      </w:t>
      </w:r>
      <w:r>
        <w:rPr>
          <w:rFonts w:ascii="Theinhardt Regular"/>
          <w:color w:val="231F20"/>
          <w:spacing w:val="4"/>
          <w:sz w:val="14"/>
        </w:rPr>
        <w:t> </w:t>
      </w:r>
      <w:r>
        <w:rPr>
          <w:rFonts w:ascii="Theinhardt Regular"/>
          <w:color w:val="231F20"/>
          <w:sz w:val="14"/>
        </w:rPr>
        <w:t>%       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z w:val="14"/>
        </w:rPr>
        <w:t>kWh/a</w:t>
      </w:r>
      <w:r>
        <w:rPr>
          <w:rFonts w:ascii="Theinhardt Regular"/>
          <w:sz w:val="14"/>
        </w:rPr>
      </w: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5"/>
        <w:gridCol w:w="379"/>
        <w:gridCol w:w="418"/>
        <w:gridCol w:w="696"/>
      </w:tblGrid>
      <w:tr>
        <w:trPr>
          <w:trHeight w:val="167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6" w:val="left" w:leader="none"/>
                <w:tab w:pos="1285" w:val="left" w:leader="none"/>
              </w:tabs>
              <w:spacing w:line="141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  <w:tab/>
            </w:r>
            <w:r>
              <w:rPr>
                <w:rFonts w:ascii="Theinhardt Regular"/>
                <w:color w:val="231F20"/>
                <w:sz w:val="14"/>
              </w:rPr>
              <w:t>867</w:t>
              <w:tab/>
            </w:r>
            <w:r>
              <w:rPr>
                <w:rFonts w:ascii="Theinhardt Regular"/>
                <w:color w:val="231F20"/>
                <w:spacing w:val="-2"/>
                <w:sz w:val="14"/>
              </w:rPr>
              <w:t>140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6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149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7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188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9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4"/>
                <w:sz w:val="14"/>
              </w:rPr>
              <w:t>1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2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8</w:t>
            </w:r>
            <w:r>
              <w:rPr>
                <w:rFonts w:ascii="Theinhardt Bold"/>
                <w:b/>
                <w:color w:val="231F20"/>
                <w:spacing w:val="3"/>
                <w:sz w:val="14"/>
              </w:rPr>
              <w:t>'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7</w:t>
            </w:r>
            <w:r>
              <w:rPr>
                <w:rFonts w:ascii="Theinhardt Bold"/>
                <w:b/>
                <w:color w:val="231F20"/>
                <w:spacing w:val="3"/>
                <w:sz w:val="14"/>
              </w:rPr>
              <w:t>9</w:t>
            </w:r>
            <w:r>
              <w:rPr>
                <w:rFonts w:ascii="Theinhardt Bold"/>
                <w:b/>
                <w:color w:val="231F20"/>
                <w:sz w:val="14"/>
              </w:rPr>
              <w:t>0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347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4"/>
              <w:ind w:left="55" w:right="6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(Endenergie)</w:t>
            </w:r>
            <w:r>
              <w:rPr>
                <w:rFonts w:ascii="Theinhardt Bold"/>
                <w:b/>
                <w:color w:val="231F20"/>
                <w:spacing w:val="34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4"/>
              <w:ind w:left="79" w:right="93" w:firstLine="114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189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6"/>
              <w:ind w:left="178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40" w:right="0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4"/>
                <w:sz w:val="14"/>
              </w:rPr>
              <w:t>1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2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8</w:t>
            </w:r>
            <w:r>
              <w:rPr>
                <w:rFonts w:ascii="Theinhardt Bold"/>
                <w:b/>
                <w:color w:val="231F20"/>
                <w:spacing w:val="3"/>
                <w:sz w:val="14"/>
              </w:rPr>
              <w:t>'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7</w:t>
            </w:r>
            <w:r>
              <w:rPr>
                <w:rFonts w:ascii="Theinhardt Bold"/>
                <w:b/>
                <w:color w:val="231F20"/>
                <w:spacing w:val="3"/>
                <w:sz w:val="14"/>
              </w:rPr>
              <w:t>9</w:t>
            </w:r>
            <w:r>
              <w:rPr>
                <w:rFonts w:ascii="Theinhardt Bold"/>
                <w:b/>
                <w:color w:val="231F20"/>
                <w:sz w:val="14"/>
              </w:rPr>
              <w:t>0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161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1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1" w:lineRule="exact"/>
              <w:ind w:left="7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1" w:lineRule="exact"/>
              <w:ind w:left="17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68'260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239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Solarstromüberschuss:</w:t>
            </w:r>
            <w:r>
              <w:rPr>
                <w:rFonts w:ascii="Theinhardt Bold" w:hAnsi="Theinhardt Bold"/>
                <w:sz w:val="14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53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89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76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60'530</w:t>
            </w:r>
            <w:r>
              <w:rPr>
                <w:rFonts w:ascii="Theinhardt Bold"/>
                <w:sz w:val="14"/>
              </w:rPr>
            </w:r>
          </w:p>
        </w:tc>
      </w:tr>
    </w:tbl>
    <w:p>
      <w:pPr>
        <w:spacing w:line="160" w:lineRule="exact" w:before="42"/>
        <w:ind w:left="106" w:right="487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Elektrizitätswerke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Kantons</w:t>
      </w:r>
      <w:r>
        <w:rPr>
          <w:rFonts w:ascii="Theinhardt Bold" w:hAnsi="Theinhardt Bold"/>
          <w:b/>
          <w:color w:val="231F20"/>
          <w:spacing w:val="24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Zürich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1"/>
          <w:sz w:val="14"/>
        </w:rPr>
        <w:t>06.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September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2021,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Ralf</w:t>
      </w:r>
      <w:r>
        <w:rPr>
          <w:rFonts w:ascii="Theinhardt Regular" w:hAnsi="Theinhardt Regular"/>
          <w:color w:val="231F20"/>
          <w:sz w:val="14"/>
        </w:rPr>
        <w:t> Rienäcker,</w:t>
      </w:r>
      <w:r>
        <w:rPr>
          <w:rFonts w:ascii="Theinhardt Regular" w:hAnsi="Theinhardt Regular"/>
          <w:color w:val="231F20"/>
          <w:spacing w:val="46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58 359 </w:t>
      </w:r>
      <w:r>
        <w:rPr>
          <w:rFonts w:ascii="Theinhardt Regular" w:hAnsi="Theinhardt Regular"/>
          <w:color w:val="231F20"/>
          <w:spacing w:val="-5"/>
          <w:sz w:val="14"/>
        </w:rPr>
        <w:t>51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7"/>
          <w:sz w:val="14"/>
        </w:rPr>
        <w:t>11</w:t>
      </w:r>
      <w:r>
        <w:rPr>
          <w:rFonts w:ascii="Theinhardt Regular" w:hAnsi="Theinhardt Regular"/>
          <w:sz w:val="14"/>
        </w:rPr>
      </w:r>
    </w:p>
    <w:p>
      <w:pPr>
        <w:spacing w:line="142" w:lineRule="exact" w:before="72"/>
        <w:ind w:left="106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511902pt;margin-top:14.644097pt;width:167.25pt;height:.45pt;mso-position-horizontal-relative:page;mso-position-vertical-relative:paragraph;z-index:-5632" coordorigin="7710,293" coordsize="3345,9">
            <v:group style="position:absolute;left:7732;top:297;width:3311;height:2" coordorigin="7732,297" coordsize="3311,2">
              <v:shape style="position:absolute;left:7732;top:297;width:3311;height:2" coordorigin="7732,297" coordsize="3311,0" path="m7732,297l11042,297e" filled="false" stroked="true" strokeweight=".425pt" strokecolor="#231f20">
                <v:path arrowok="t"/>
                <v:stroke dashstyle="dash"/>
              </v:shape>
            </v:group>
            <v:group style="position:absolute;left:7714;top:297;width:2;height:2" coordorigin="7714,297" coordsize="2,2">
              <v:shape style="position:absolute;left:7714;top:297;width:2;height:2" coordorigin="7714,297" coordsize="0,0" path="m7714,297l7714,297e" filled="false" stroked="true" strokeweight=".425pt" strokecolor="#231f20">
                <v:path arrowok="t"/>
              </v:shape>
            </v:group>
            <v:group style="position:absolute;left:11051;top:297;width:2;height:2" coordorigin="11051,297" coordsize="2,2">
              <v:shape style="position:absolute;left:11051;top:297;width:2;height:2" coordorigin="11051,297" coordsize="0,0" path="m11051,297l11051,29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Personen</w:t>
      </w:r>
      <w:r>
        <w:rPr>
          <w:rFonts w:ascii="Theinhardt Black"/>
          <w:sz w:val="14"/>
        </w:rPr>
      </w:r>
    </w:p>
    <w:p>
      <w:pPr>
        <w:spacing w:after="0" w:line="142" w:lineRule="exact"/>
        <w:jc w:val="both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60" w:space="112"/>
            <w:col w:w="3567"/>
          </w:cols>
        </w:sectPr>
      </w:pPr>
    </w:p>
    <w:p>
      <w:pPr>
        <w:pStyle w:val="BodyText"/>
        <w:spacing w:line="163" w:lineRule="exact"/>
        <w:ind w:right="0"/>
        <w:jc w:val="left"/>
      </w:pPr>
      <w:r>
        <w:rPr>
          <w:color w:val="231F20"/>
          <w:spacing w:val="-1"/>
        </w:rPr>
        <w:t>Nachbargebäude</w:t>
      </w:r>
      <w:r>
        <w:rPr>
          <w:color w:val="231F20"/>
        </w:rPr>
        <w:t> zu </w:t>
      </w:r>
      <w:r>
        <w:rPr>
          <w:color w:val="231F20"/>
          <w:spacing w:val="-1"/>
        </w:rPr>
        <w:t>versorgen.</w:t>
      </w:r>
      <w:r>
        <w:rPr/>
      </w:r>
    </w:p>
    <w:p>
      <w:pPr>
        <w:tabs>
          <w:tab w:pos="3472" w:val="left" w:leader="none"/>
          <w:tab w:pos="6783" w:val="left" w:leader="none"/>
        </w:tabs>
        <w:spacing w:line="163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140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couvre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ab/>
        <w:t> </w:t>
        <w:tab/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after="0" w:line="163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12" w:space="1287"/>
            <w:col w:w="6911"/>
          </w:cols>
        </w:sectPr>
      </w:pPr>
    </w:p>
    <w:p>
      <w:pPr>
        <w:pStyle w:val="BodyText"/>
        <w:spacing w:line="230" w:lineRule="exact" w:before="18"/>
        <w:ind w:right="0" w:firstLine="226"/>
        <w:jc w:val="both"/>
      </w:pPr>
      <w:r>
        <w:rPr>
          <w:color w:val="231F20"/>
          <w:spacing w:val="-2"/>
        </w:rPr>
        <w:t>Die</w:t>
      </w:r>
      <w:r>
        <w:rPr>
          <w:color w:val="231F20"/>
          <w:spacing w:val="-12"/>
        </w:rPr>
        <w:t> </w:t>
      </w:r>
      <w:r>
        <w:rPr>
          <w:color w:val="231F20"/>
        </w:rPr>
        <w:t>140</w:t>
      </w:r>
      <w:r>
        <w:rPr>
          <w:color w:val="231F20"/>
          <w:spacing w:val="-12"/>
        </w:rPr>
        <w:t> </w:t>
      </w:r>
      <w:r>
        <w:rPr>
          <w:color w:val="231F20"/>
        </w:rPr>
        <w:t>kW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starke</w:t>
      </w:r>
      <w:r>
        <w:rPr>
          <w:color w:val="231F20"/>
          <w:spacing w:val="-12"/>
        </w:rPr>
        <w:t> </w:t>
      </w:r>
      <w:r>
        <w:rPr>
          <w:color w:val="231F20"/>
        </w:rPr>
        <w:t>und</w:t>
      </w:r>
      <w:r>
        <w:rPr>
          <w:color w:val="231F20"/>
          <w:spacing w:val="-12"/>
        </w:rPr>
        <w:t> </w:t>
      </w:r>
      <w:r>
        <w:rPr>
          <w:color w:val="231F20"/>
        </w:rPr>
        <w:t>ganzflächig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dach-</w:t>
      </w:r>
      <w:r>
        <w:rPr>
          <w:color w:val="231F20"/>
          <w:spacing w:val="28"/>
          <w:w w:val="96"/>
        </w:rPr>
        <w:t> </w:t>
      </w:r>
      <w:r>
        <w:rPr>
          <w:color w:val="231F20"/>
        </w:rPr>
        <w:t>integrierte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20"/>
        </w:rPr>
        <w:t> </w:t>
      </w:r>
      <w:r>
        <w:rPr>
          <w:color w:val="231F20"/>
        </w:rPr>
        <w:t>erzeugt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128’800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2"/>
        </w:rPr>
        <w:t> </w:t>
      </w:r>
      <w:r>
        <w:rPr>
          <w:color w:val="231F20"/>
        </w:rPr>
        <w:t>dem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Solarstromüberschuss</w:t>
      </w:r>
      <w:r>
        <w:rPr>
          <w:color w:val="231F20"/>
          <w:spacing w:val="12"/>
        </w:rPr>
        <w:t> </w:t>
      </w:r>
      <w:r>
        <w:rPr>
          <w:color w:val="231F20"/>
        </w:rPr>
        <w:t>von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60’500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können</w:t>
      </w:r>
      <w:r>
        <w:rPr>
          <w:color w:val="231F20"/>
          <w:spacing w:val="14"/>
        </w:rPr>
        <w:t> </w:t>
      </w:r>
      <w:r>
        <w:rPr>
          <w:color w:val="231F20"/>
        </w:rPr>
        <w:t>auch</w:t>
      </w:r>
      <w:r>
        <w:rPr>
          <w:color w:val="231F20"/>
          <w:spacing w:val="14"/>
        </w:rPr>
        <w:t> </w:t>
      </w:r>
      <w:r>
        <w:rPr>
          <w:color w:val="231F20"/>
        </w:rPr>
        <w:t>43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E-Autos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12’000</w:t>
      </w:r>
      <w:r>
        <w:rPr>
          <w:color w:val="231F20"/>
          <w:spacing w:val="44"/>
        </w:rPr>
        <w:t> </w:t>
      </w:r>
      <w:r>
        <w:rPr>
          <w:color w:val="231F20"/>
        </w:rPr>
        <w:t>km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pro</w:t>
      </w:r>
      <w:r>
        <w:rPr>
          <w:color w:val="231F20"/>
          <w:spacing w:val="44"/>
        </w:rPr>
        <w:t> </w:t>
      </w:r>
      <w:r>
        <w:rPr>
          <w:color w:val="231F20"/>
        </w:rPr>
        <w:t>Jahr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emissionsfrei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fahren</w:t>
      </w:r>
      <w:r>
        <w:rPr>
          <w:color w:val="231F20"/>
          <w:spacing w:val="35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jährlich</w:t>
      </w:r>
      <w:r>
        <w:rPr>
          <w:color w:val="231F20"/>
          <w:spacing w:val="21"/>
        </w:rPr>
        <w:t> </w:t>
      </w:r>
      <w:r>
        <w:rPr>
          <w:color w:val="231F20"/>
        </w:rPr>
        <w:t>rund</w:t>
      </w:r>
      <w:r>
        <w:rPr>
          <w:color w:val="231F20"/>
          <w:spacing w:val="22"/>
        </w:rPr>
        <w:t> </w:t>
      </w:r>
      <w:r>
        <w:rPr>
          <w:color w:val="231F20"/>
        </w:rPr>
        <w:t>124.4</w:t>
      </w:r>
      <w:r>
        <w:rPr>
          <w:color w:val="231F20"/>
          <w:spacing w:val="21"/>
        </w:rPr>
        <w:t> </w:t>
      </w:r>
      <w:r>
        <w:rPr>
          <w:color w:val="231F20"/>
        </w:rPr>
        <w:t>t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-Emissionen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reduzieren.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  <w:spacing w:val="-1"/>
        </w:rPr>
        <w:t>Durch</w:t>
      </w:r>
      <w:r>
        <w:rPr>
          <w:color w:val="231F20"/>
          <w:spacing w:val="24"/>
        </w:rPr>
        <w:t> </w:t>
      </w:r>
      <w:r>
        <w:rPr>
          <w:color w:val="231F20"/>
        </w:rPr>
        <w:t>die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Verwendung</w:t>
      </w:r>
      <w:r>
        <w:rPr>
          <w:color w:val="231F20"/>
          <w:spacing w:val="25"/>
        </w:rPr>
        <w:t> </w:t>
      </w:r>
      <w:r>
        <w:rPr>
          <w:color w:val="231F20"/>
        </w:rPr>
        <w:t>von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transluzi-</w:t>
      </w:r>
      <w:r>
        <w:rPr>
          <w:color w:val="231F20"/>
          <w:spacing w:val="25"/>
        </w:rPr>
        <w:t> </w:t>
      </w:r>
      <w:r>
        <w:rPr>
          <w:color w:val="231F20"/>
        </w:rPr>
        <w:t>den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PV-Modulen</w:t>
      </w:r>
      <w:r>
        <w:rPr>
          <w:color w:val="231F20"/>
          <w:spacing w:val="20"/>
        </w:rPr>
        <w:t> </w:t>
      </w:r>
      <w:r>
        <w:rPr>
          <w:color w:val="231F20"/>
        </w:rPr>
        <w:t>wirkt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Entsorgungs-</w:t>
      </w:r>
      <w:r>
        <w:rPr>
          <w:color w:val="231F20"/>
          <w:spacing w:val="26"/>
        </w:rPr>
        <w:t> </w:t>
      </w:r>
      <w:r>
        <w:rPr>
          <w:color w:val="231F20"/>
        </w:rPr>
        <w:t>stelle</w:t>
      </w:r>
      <w:r>
        <w:rPr>
          <w:color w:val="231F20"/>
          <w:spacing w:val="20"/>
        </w:rPr>
        <w:t> </w:t>
      </w:r>
      <w:r>
        <w:rPr>
          <w:color w:val="231F20"/>
        </w:rPr>
        <w:t>elegant</w:t>
      </w:r>
      <w:r>
        <w:rPr>
          <w:color w:val="231F20"/>
          <w:spacing w:val="20"/>
        </w:rPr>
        <w:t> </w:t>
      </w:r>
      <w:r>
        <w:rPr>
          <w:color w:val="231F20"/>
        </w:rPr>
        <w:t>und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20"/>
        </w:rPr>
        <w:t> </w:t>
      </w:r>
      <w:r>
        <w:rPr>
          <w:color w:val="231F20"/>
        </w:rPr>
        <w:t>mit</w:t>
      </w:r>
      <w:r>
        <w:rPr>
          <w:color w:val="231F20"/>
          <w:spacing w:val="20"/>
        </w:rPr>
        <w:t> </w:t>
      </w:r>
      <w:r>
        <w:rPr>
          <w:color w:val="231F20"/>
        </w:rPr>
        <w:t>natürlichem</w:t>
      </w:r>
      <w:r>
        <w:rPr>
          <w:color w:val="231F20"/>
          <w:spacing w:val="25"/>
        </w:rPr>
        <w:t> </w:t>
      </w:r>
      <w:r>
        <w:rPr>
          <w:color w:val="231F20"/>
        </w:rPr>
        <w:t>Sonnenlicht</w:t>
      </w:r>
      <w:r>
        <w:rPr>
          <w:color w:val="231F20"/>
          <w:spacing w:val="41"/>
        </w:rPr>
        <w:t> </w:t>
      </w:r>
      <w:r>
        <w:rPr>
          <w:color w:val="231F20"/>
        </w:rPr>
        <w:t>erhellt.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Entsorgungsstelle</w:t>
      </w:r>
      <w:r>
        <w:rPr/>
      </w:r>
    </w:p>
    <w:p>
      <w:pPr>
        <w:spacing w:line="226" w:lineRule="auto" w:before="38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déchetterie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128’800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60’500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permettrait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43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chacun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12’000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5"/>
          <w:sz w:val="18"/>
          <w:szCs w:val="18"/>
        </w:rPr>
        <w:t>km/a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8"/>
          <w:position w:val="-5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réduire 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124,4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 rejets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translucide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éclairent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locaux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lumière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naturelle,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leur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conférant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beaucoup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d’élégance.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dé-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chetterie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Wädenswil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illustre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l’une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nombreuses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possibilités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d’exploiter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soleil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 le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"/>
          <w:sz w:val="18"/>
          <w:szCs w:val="18"/>
        </w:rPr>
        <w:t>domaine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bâtiment.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pacing w:val="-2"/>
          <w:sz w:val="18"/>
          <w:szCs w:val="18"/>
        </w:rPr>
        <w:t> reçoit le </w:t>
      </w:r>
      <w:r>
        <w:rPr>
          <w:rFonts w:ascii="Theinhardt Regular Italic" w:hAnsi="Theinhardt Regular Italic" w:cs="Theinhardt Regular Italic" w:eastAsia="Theinhardt Regular Italic"/>
          <w:i/>
          <w:color w:val="383638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4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Eigentümer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Rütibüelstrasse</w:t>
      </w:r>
      <w:r>
        <w:rPr>
          <w:rFonts w:ascii="Theinhardt Regular" w:hAnsi="Theinhardt Regular"/>
          <w:color w:val="231F20"/>
          <w:spacing w:val="-8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5,</w:t>
      </w:r>
      <w:r>
        <w:rPr>
          <w:rFonts w:ascii="Theinhardt Regular" w:hAnsi="Theinhardt Regular"/>
          <w:color w:val="231F20"/>
          <w:spacing w:val="-7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8820</w:t>
      </w:r>
      <w:r>
        <w:rPr>
          <w:rFonts w:ascii="Theinhardt Regular" w:hAnsi="Theinhardt Regular"/>
          <w:color w:val="231F20"/>
          <w:spacing w:val="-7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Wädenswil,</w:t>
      </w:r>
      <w:r>
        <w:rPr>
          <w:rFonts w:ascii="Theinhardt Regular" w:hAnsi="Theinhardt Regular"/>
          <w:color w:val="231F20"/>
          <w:spacing w:val="-7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Werke</w:t>
      </w:r>
      <w:r>
        <w:rPr>
          <w:rFonts w:ascii="Theinhardt Regular" w:hAnsi="Theinhardt Regular"/>
          <w:color w:val="231F20"/>
          <w:spacing w:val="-7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Wädenswil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9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atool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Samstagernstrasse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6"/>
          <w:sz w:val="14"/>
        </w:rPr>
        <w:t>41,</w:t>
      </w:r>
      <w:r>
        <w:rPr>
          <w:rFonts w:ascii="Theinhardt Regular"/>
          <w:color w:val="231F20"/>
          <w:sz w:val="14"/>
        </w:rPr>
        <w:t> 8832 </w:t>
      </w:r>
      <w:r>
        <w:rPr>
          <w:rFonts w:ascii="Theinhardt Regular"/>
          <w:color w:val="231F20"/>
          <w:spacing w:val="1"/>
          <w:sz w:val="14"/>
        </w:rPr>
        <w:t>Wollerau</w:t>
      </w:r>
      <w:r>
        <w:rPr>
          <w:rFonts w:ascii="Theinhardt Regular"/>
          <w:sz w:val="14"/>
        </w:rPr>
      </w:r>
    </w:p>
    <w:p>
      <w:pPr>
        <w:spacing w:line="172" w:lineRule="exact" w:before="5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PV-Instellateur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Kirsch</w:t>
      </w:r>
      <w:r>
        <w:rPr>
          <w:rFonts w:ascii="Theinhardt Regular"/>
          <w:color w:val="231F20"/>
          <w:sz w:val="14"/>
        </w:rPr>
        <w:t> &amp; Egli AG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Einsiedlerstrasse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32,</w:t>
      </w:r>
      <w:r>
        <w:rPr>
          <w:rFonts w:ascii="Theinhardt Regular" w:hAnsi="Theinhardt Regular"/>
          <w:color w:val="231F20"/>
          <w:sz w:val="14"/>
        </w:rPr>
        <w:t> 8820 </w:t>
      </w:r>
      <w:r>
        <w:rPr>
          <w:rFonts w:ascii="Theinhardt Regular" w:hAnsi="Theinhardt Regular"/>
          <w:color w:val="231F20"/>
          <w:spacing w:val="1"/>
          <w:sz w:val="14"/>
        </w:rPr>
        <w:t>Wädenswil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5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Projekt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etool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gmbh,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Einsiedlerstrasse</w:t>
      </w:r>
      <w:r>
        <w:rPr>
          <w:rFonts w:ascii="Theinhardt Regular" w:hAnsi="Theinhardt Regular"/>
          <w:color w:val="231F20"/>
          <w:sz w:val="14"/>
        </w:rPr>
        <w:t> 6, 8820 </w:t>
      </w:r>
      <w:r>
        <w:rPr>
          <w:rFonts w:ascii="Theinhardt Regular" w:hAnsi="Theinhardt Regular"/>
          <w:color w:val="231F20"/>
          <w:spacing w:val="1"/>
          <w:sz w:val="14"/>
        </w:rPr>
        <w:t>Wädenswil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5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Elektroplanung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ARTHO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ELEKTROPLANUNG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Zugerstrasse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59,</w:t>
      </w:r>
      <w:r>
        <w:rPr>
          <w:rFonts w:ascii="Theinhardt Regular" w:hAnsi="Theinhardt Regular"/>
          <w:color w:val="231F20"/>
          <w:sz w:val="14"/>
        </w:rPr>
        <w:t> 8820 </w:t>
      </w:r>
      <w:r>
        <w:rPr>
          <w:rFonts w:ascii="Theinhardt Regular" w:hAnsi="Theinhardt Regular"/>
          <w:color w:val="231F20"/>
          <w:spacing w:val="1"/>
          <w:sz w:val="14"/>
        </w:rPr>
        <w:t>Wädenswil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5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Tragkonstruktion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Ausführung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PV-Anlage</w:t>
      </w:r>
      <w:r>
        <w:rPr>
          <w:rFonts w:ascii="Theinhardt Bold" w:hAnsi="Theinhardt Bold"/>
          <w:sz w:val="14"/>
        </w:rPr>
      </w:r>
    </w:p>
    <w:p>
      <w:pPr>
        <w:spacing w:line="99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Zogg</w:t>
      </w:r>
      <w:r>
        <w:rPr>
          <w:rFonts w:ascii="Theinhardt Regular" w:hAnsi="Theinhardt Regular"/>
          <w:color w:val="231F20"/>
          <w:sz w:val="14"/>
        </w:rPr>
        <w:t> AG, Im </w:t>
      </w:r>
      <w:r>
        <w:rPr>
          <w:rFonts w:ascii="Theinhardt Regular" w:hAnsi="Theinhardt Regular"/>
          <w:color w:val="231F20"/>
          <w:spacing w:val="2"/>
          <w:sz w:val="14"/>
        </w:rPr>
        <w:t>Giessen,</w:t>
      </w:r>
      <w:r>
        <w:rPr>
          <w:rFonts w:ascii="Theinhardt Regular" w:hAnsi="Theinhardt Regular"/>
          <w:color w:val="231F20"/>
          <w:sz w:val="14"/>
        </w:rPr>
        <w:t> 8820 </w:t>
      </w:r>
      <w:r>
        <w:rPr>
          <w:rFonts w:ascii="Theinhardt Regular" w:hAnsi="Theinhardt Regular"/>
          <w:color w:val="231F20"/>
          <w:spacing w:val="1"/>
          <w:sz w:val="14"/>
        </w:rPr>
        <w:t>Wädenswil</w:t>
      </w:r>
      <w:r>
        <w:rPr>
          <w:rFonts w:ascii="Theinhardt Regular" w:hAnsi="Theinhardt Regular"/>
          <w:sz w:val="14"/>
        </w:rPr>
      </w:r>
    </w:p>
    <w:p>
      <w:pPr>
        <w:spacing w:after="0" w:line="99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pStyle w:val="BodyText"/>
        <w:spacing w:line="195" w:lineRule="exact"/>
        <w:ind w:right="0"/>
        <w:jc w:val="left"/>
      </w:pPr>
      <w:r>
        <w:rPr>
          <w:color w:val="231F20"/>
          <w:spacing w:val="-1"/>
        </w:rPr>
        <w:t>veranschaulicht</w:t>
      </w:r>
      <w:r>
        <w:rPr>
          <w:color w:val="231F20"/>
          <w:spacing w:val="34"/>
        </w:rPr>
        <w:t> </w:t>
      </w:r>
      <w:r>
        <w:rPr>
          <w:color w:val="231F20"/>
        </w:rPr>
        <w:t>beispielhaft</w:t>
      </w:r>
      <w:r>
        <w:rPr>
          <w:color w:val="231F20"/>
          <w:spacing w:val="35"/>
        </w:rPr>
        <w:t> </w:t>
      </w:r>
      <w:r>
        <w:rPr>
          <w:color w:val="231F20"/>
        </w:rPr>
        <w:t>die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vielseitige</w:t>
      </w:r>
      <w:r>
        <w:rPr/>
      </w:r>
    </w:p>
    <w:p>
      <w:pPr>
        <w:pStyle w:val="BodyText"/>
        <w:spacing w:line="232" w:lineRule="auto" w:before="2"/>
        <w:ind w:right="0"/>
        <w:jc w:val="left"/>
      </w:pPr>
      <w:r>
        <w:rPr>
          <w:color w:val="231F20"/>
          <w:spacing w:val="-1"/>
        </w:rPr>
        <w:t>Nutzungsmöglichkeit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der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Solarenergie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im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Gebäudebereich.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Entsorgungspark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6"/>
        </w:rPr>
        <w:t> </w:t>
      </w:r>
      <w:r>
        <w:rPr>
          <w:color w:val="231F20"/>
        </w:rPr>
        <w:t>dem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ästhetisch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ansprechenden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Solardach</w:t>
      </w:r>
      <w:r>
        <w:rPr>
          <w:color w:val="231F20"/>
          <w:spacing w:val="5"/>
        </w:rPr>
        <w:t> </w:t>
      </w:r>
      <w:r>
        <w:rPr>
          <w:color w:val="231F20"/>
        </w:rPr>
        <w:t>erhält</w:t>
      </w:r>
      <w:r>
        <w:rPr>
          <w:color w:val="231F20"/>
          <w:spacing w:val="5"/>
        </w:rPr>
        <w:t> </w:t>
      </w:r>
      <w:r>
        <w:rPr>
          <w:color w:val="231F20"/>
        </w:rPr>
        <w:t>dafür</w:t>
      </w:r>
      <w:r>
        <w:rPr>
          <w:color w:val="231F20"/>
          <w:spacing w:val="28"/>
        </w:rPr>
        <w:t> </w:t>
      </w:r>
      <w:r>
        <w:rPr>
          <w:color w:val="231F20"/>
        </w:rPr>
        <w:t>den </w:t>
      </w:r>
      <w:r>
        <w:rPr>
          <w:color w:val="231F20"/>
          <w:spacing w:val="-1"/>
        </w:rPr>
        <w:t>Schweizer</w:t>
      </w:r>
      <w:r>
        <w:rPr>
          <w:color w:val="231F20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2021.</w:t>
      </w:r>
      <w:r>
        <w:rPr/>
      </w:r>
    </w:p>
    <w:p>
      <w:pPr>
        <w:tabs>
          <w:tab w:pos="3699" w:val="left" w:leader="none"/>
          <w:tab w:pos="7010" w:val="left" w:leader="none"/>
        </w:tabs>
        <w:spacing w:line="195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383638"/>
          <w:spacing w:val="-1"/>
          <w:sz w:val="18"/>
        </w:rPr>
        <w:t>Solaire</w:t>
      </w:r>
      <w:r>
        <w:rPr>
          <w:rFonts w:ascii="Theinhardt Regular Italic" w:hAnsi="Theinhardt Regular Italic"/>
          <w:i/>
          <w:color w:val="383638"/>
          <w:spacing w:val="-10"/>
          <w:sz w:val="18"/>
        </w:rPr>
        <w:t> </w:t>
      </w:r>
      <w:r>
        <w:rPr>
          <w:rFonts w:ascii="Theinhardt Regular Italic" w:hAnsi="Theinhardt Regular Italic"/>
          <w:i/>
          <w:color w:val="383638"/>
          <w:spacing w:val="-1"/>
          <w:sz w:val="18"/>
        </w:rPr>
        <w:t>Suisse</w:t>
      </w:r>
      <w:r>
        <w:rPr>
          <w:rFonts w:ascii="Theinhardt Regular Italic" w:hAnsi="Theinhardt Regular Italic"/>
          <w:i/>
          <w:color w:val="383638"/>
          <w:spacing w:val="-10"/>
          <w:sz w:val="18"/>
        </w:rPr>
        <w:t> </w:t>
      </w:r>
      <w:r>
        <w:rPr>
          <w:rFonts w:ascii="Theinhardt Regular Italic" w:hAnsi="Theinhardt Regular Italic"/>
          <w:i/>
          <w:color w:val="383638"/>
          <w:sz w:val="18"/>
        </w:rPr>
        <w:t>2021</w:t>
      </w:r>
      <w:r>
        <w:rPr>
          <w:rFonts w:ascii="Theinhardt Regular Italic" w:hAnsi="Theinhardt Regular Italic"/>
          <w:i/>
          <w:color w:val="383638"/>
          <w:spacing w:val="-10"/>
          <w:sz w:val="18"/>
        </w:rPr>
        <w:t> </w:t>
      </w:r>
      <w:r>
        <w:rPr>
          <w:rFonts w:ascii="Theinhardt Regular Italic" w:hAnsi="Theinhardt Regular Italic"/>
          <w:i/>
          <w:color w:val="383638"/>
          <w:sz w:val="18"/>
        </w:rPr>
        <w:t>pour</w:t>
      </w:r>
      <w:r>
        <w:rPr>
          <w:rFonts w:ascii="Theinhardt Regular Italic" w:hAnsi="Theinhardt Regular Italic"/>
          <w:i/>
          <w:color w:val="383638"/>
          <w:spacing w:val="-10"/>
          <w:sz w:val="18"/>
        </w:rPr>
        <w:t> </w:t>
      </w:r>
      <w:r>
        <w:rPr>
          <w:rFonts w:ascii="Theinhardt Regular Italic" w:hAnsi="Theinhardt Regular Italic"/>
          <w:i/>
          <w:color w:val="383638"/>
          <w:spacing w:val="-1"/>
          <w:sz w:val="18"/>
        </w:rPr>
        <w:t>son</w:t>
      </w:r>
      <w:r>
        <w:rPr>
          <w:rFonts w:ascii="Theinhardt Regular Italic" w:hAnsi="Theinhardt Regular Italic"/>
          <w:i/>
          <w:color w:val="383638"/>
          <w:spacing w:val="-10"/>
          <w:sz w:val="18"/>
        </w:rPr>
        <w:t> </w:t>
      </w:r>
      <w:r>
        <w:rPr>
          <w:rFonts w:ascii="Theinhardt Regular Italic" w:hAnsi="Theinhardt Regular Italic"/>
          <w:i/>
          <w:color w:val="383638"/>
          <w:spacing w:val="-1"/>
          <w:sz w:val="18"/>
        </w:rPr>
        <w:t>toit</w:t>
      </w:r>
      <w:r>
        <w:rPr>
          <w:rFonts w:ascii="Theinhardt Regular Italic" w:hAnsi="Theinhardt Regular Italic"/>
          <w:i/>
          <w:color w:val="383638"/>
          <w:spacing w:val="-10"/>
          <w:sz w:val="18"/>
        </w:rPr>
        <w:t> </w:t>
      </w:r>
      <w:r>
        <w:rPr>
          <w:rFonts w:ascii="Theinhardt Regular Italic" w:hAnsi="Theinhardt Regular Italic"/>
          <w:i/>
          <w:color w:val="383638"/>
          <w:spacing w:val="-1"/>
          <w:sz w:val="18"/>
        </w:rPr>
        <w:t>solaire</w:t>
      </w:r>
      <w:r>
        <w:rPr>
          <w:rFonts w:ascii="Theinhardt Regular Italic" w:hAnsi="Theinhardt Regular Italic"/>
          <w:i/>
          <w:color w:val="383638"/>
          <w:spacing w:val="-10"/>
          <w:sz w:val="18"/>
        </w:rPr>
        <w:t> </w:t>
      </w:r>
      <w:r>
        <w:rPr>
          <w:rFonts w:ascii="Theinhardt Regular Italic" w:hAnsi="Theinhardt Regular Italic"/>
          <w:i/>
          <w:color w:val="383638"/>
          <w:spacing w:val="-1"/>
          <w:sz w:val="18"/>
        </w:rPr>
        <w:t>très</w:t>
      </w:r>
      <w:r>
        <w:rPr>
          <w:rFonts w:ascii="Theinhardt Regular Italic" w:hAnsi="Theinhardt Regular Italic"/>
          <w:i/>
          <w:color w:val="383638"/>
          <w:sz w:val="18"/>
        </w:rPr>
        <w:tab/>
      </w:r>
      <w:r>
        <w:rPr>
          <w:rFonts w:ascii="Theinhardt Regular Italic" w:hAnsi="Theinhardt Regular Italic"/>
          <w:i/>
          <w:color w:val="383638"/>
          <w:sz w:val="18"/>
          <w:u w:val="dotted" w:color="231F20"/>
        </w:rPr>
        <w:t> </w:t>
        <w:tab/>
      </w:r>
      <w:r>
        <w:rPr>
          <w:rFonts w:ascii="Theinhardt Regular Italic" w:hAnsi="Theinhardt Regular Italic"/>
          <w:i/>
          <w:color w:val="383638"/>
          <w:sz w:val="18"/>
        </w:rPr>
      </w:r>
      <w:r>
        <w:rPr>
          <w:rFonts w:ascii="Theinhardt Regular Italic" w:hAnsi="Theinhardt Regular Italic"/>
          <w:sz w:val="18"/>
        </w:rPr>
      </w:r>
    </w:p>
    <w:p>
      <w:pPr>
        <w:spacing w:line="234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pict>
          <v:group style="position:absolute;margin-left:385.724396pt;margin-top:-1.083406pt;width:.1pt;height:.1pt;mso-position-horizontal-relative:page;mso-position-vertical-relative:paragraph;z-index:-5608" coordorigin="7714,-22" coordsize="2,2">
            <v:shape style="position:absolute;left:7714;top:-22;width:2;height:2" coordorigin="7714,-22" coordsize="0,0" path="m7714,-22l7714,-22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-1.083406pt;width:.1pt;height:.1pt;mso-position-horizontal-relative:page;mso-position-vertical-relative:paragraph;z-index:1192" coordorigin="11051,-22" coordsize="2,2">
            <v:shape style="position:absolute;left:11051;top:-22;width:2;height:2" coordorigin="11051,-22" coordsize="0,0" path="m11051,-22l11051,-22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Regular Italic"/>
          <w:i/>
          <w:color w:val="383638"/>
          <w:sz w:val="18"/>
        </w:rPr>
        <w:t>attrayant.</w:t>
      </w:r>
      <w:r>
        <w:rPr>
          <w:rFonts w:ascii="Theinhardt Regular Italic"/>
          <w:sz w:val="18"/>
        </w:rPr>
      </w:r>
    </w:p>
    <w:p>
      <w:pPr>
        <w:spacing w:after="0" w:line="234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452" w:space="119"/>
            <w:col w:w="7139"/>
          </w:cols>
        </w:sect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8"/>
        <w:rPr>
          <w:rFonts w:ascii="Theinhardt Regular Italic" w:hAnsi="Theinhardt Regular Italic" w:cs="Theinhardt Regular Italic" w:eastAsia="Theinhardt Regular Italic"/>
          <w:i/>
          <w:sz w:val="16"/>
          <w:szCs w:val="16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78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2021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2021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7487" cy="26670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87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26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389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12"/>
          <w:sz w:val="20"/>
        </w:rPr>
        <w:drawing>
          <wp:inline distT="0" distB="0" distL="0" distR="0">
            <wp:extent cx="3124826" cy="258365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826" cy="258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2"/>
          <w:sz w:val="20"/>
        </w:rPr>
      </w:r>
      <w:r>
        <w:rPr>
          <w:rFonts w:ascii="Theinhardt Bold"/>
          <w:position w:val="12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88718" cy="266700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71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381" w:val="left" w:leader="none"/>
        </w:tabs>
        <w:spacing w:before="24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65236" cy="266700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23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1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4"/>
          <w:szCs w:val="14"/>
        </w:rPr>
        <w:sectPr>
          <w:pgSz w:w="11910" w:h="16840"/>
          <w:pgMar w:top="860" w:bottom="280" w:left="740" w:right="460"/>
        </w:sectPr>
      </w:pPr>
    </w:p>
    <w:p>
      <w:pPr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   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vollflächig integrierte PV-Anlage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128’800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76"/>
        <w:ind w:left="450" w:right="0" w:hanging="341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/>
          <w:b/>
          <w:color w:val="231F20"/>
          <w:sz w:val="14"/>
        </w:rPr>
        <w:t>2/3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Die 140 kW </w:t>
      </w:r>
      <w:r>
        <w:rPr>
          <w:rFonts w:ascii="Theinhardt Bold" w:hAnsi="Theinhardt Bold"/>
          <w:b/>
          <w:color w:val="231F20"/>
          <w:spacing w:val="-1"/>
          <w:sz w:val="14"/>
        </w:rPr>
        <w:t>starken,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transluziden</w:t>
      </w:r>
      <w:r>
        <w:rPr>
          <w:rFonts w:ascii="Theinhardt Bold" w:hAnsi="Theinhardt Bold"/>
          <w:b/>
          <w:color w:val="231F20"/>
          <w:sz w:val="14"/>
        </w:rPr>
        <w:t> Solarmodule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lassen</w:t>
      </w:r>
      <w:r>
        <w:rPr>
          <w:rFonts w:ascii="Theinhardt Bold" w:hAnsi="Theinhardt Bold"/>
          <w:b/>
          <w:color w:val="231F20"/>
          <w:spacing w:val="-1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natürliches</w:t>
      </w:r>
      <w:r>
        <w:rPr>
          <w:rFonts w:ascii="Theinhardt Bold" w:hAnsi="Theinhardt Bold"/>
          <w:b/>
          <w:color w:val="231F20"/>
          <w:spacing w:val="-22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Tageslicht</w:t>
      </w:r>
      <w:r>
        <w:rPr>
          <w:rFonts w:ascii="Theinhardt Bold" w:hAnsi="Theinhardt Bold"/>
          <w:b/>
          <w:color w:val="231F20"/>
          <w:spacing w:val="-1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in</w:t>
      </w:r>
      <w:r>
        <w:rPr>
          <w:rFonts w:ascii="Theinhardt Bold" w:hAnsi="Theinhardt Bold"/>
          <w:b/>
          <w:color w:val="231F20"/>
          <w:spacing w:val="-19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die</w:t>
      </w:r>
      <w:r>
        <w:rPr>
          <w:rFonts w:ascii="Theinhardt Bold" w:hAnsi="Theinhardt Bold"/>
          <w:b/>
          <w:color w:val="231F20"/>
          <w:spacing w:val="-19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Entsorgungs-</w:t>
      </w:r>
      <w:r>
        <w:rPr>
          <w:rFonts w:ascii="Theinhardt Bold" w:hAnsi="Theinhardt Bold"/>
          <w:b/>
          <w:color w:val="231F20"/>
          <w:spacing w:val="29"/>
          <w:w w:val="9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stelle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einfallen.</w:t>
      </w:r>
      <w:r>
        <w:rPr>
          <w:rFonts w:ascii="Theinhardt Bold" w:hAnsi="Theinhardt Bold"/>
          <w:sz w:val="14"/>
        </w:rPr>
      </w:r>
    </w:p>
    <w:p>
      <w:pPr>
        <w:spacing w:line="160" w:lineRule="exact" w:before="76"/>
        <w:ind w:left="337" w:right="105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60’500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4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43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E-Autos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km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pro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Jahr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emissionsfrei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fahren.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both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187" w:space="385"/>
            <w:col w:w="3456" w:space="116"/>
            <w:col w:w="3566"/>
          </w:cols>
        </w:sect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7"/>
          <w:szCs w:val="27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2021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2021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79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2021-10-19T13:55:40Z</dcterms:created>
  <dcterms:modified xsi:type="dcterms:W3CDTF">2021-10-19T13:55:40Z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