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4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447287pt;width:.1pt;height:.1pt;mso-position-horizontal-relative:page;mso-position-vertical-relative:paragraph;z-index:-3592" coordorigin="571,269" coordsize="2,2">
            <v:shape style="position:absolute;left:571;top:269;width:2;height:2" coordorigin="571,269" coordsize="0,0" path="m571,269l571,26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447287pt;width:.1pt;height:.1pt;mso-position-horizontal-relative:page;mso-position-vertical-relative:paragraph;z-index:1144" coordorigin="3015,269" coordsize="2,2">
            <v:shape style="position:absolute;left:3015;top:269;width:2;height:2" coordorigin="3015,269" coordsize="0,0" path="m3015,269l3015,26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4.947287pt;width:.1pt;height:.1pt;mso-position-horizontal-relative:page;mso-position-vertical-relative:paragraph;z-index:-3544" coordorigin="571,499" coordsize="2,2">
            <v:shape style="position:absolute;left:571;top:499;width:2;height:2" coordorigin="571,499" coordsize="0,0" path="m571,499l571,499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4.947287pt;width:.1pt;height:.1pt;mso-position-horizontal-relative:page;mso-position-vertical-relative:paragraph;z-index:1192" coordorigin="3015,499" coordsize="2,2">
            <v:shape style="position:absolute;left:3015;top:499;width:2;height:2" coordorigin="3015,499" coordsize="0,0" path="m3015,499l3015,499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0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pacing w:val="-4"/>
          <w:sz w:val="18"/>
        </w:rPr>
        <w:t>Dr.</w:t>
      </w:r>
      <w:r>
        <w:rPr>
          <w:rFonts w:ascii="Theinhardt Bold" w:hAnsi="Theinhardt Bold"/>
          <w:b/>
          <w:color w:val="231F20"/>
          <w:spacing w:val="-18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Ruedi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Meier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(1949)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promovierte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als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Ökonom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Raumplaner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mit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einer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Arbeit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über</w:t>
      </w:r>
      <w:r>
        <w:rPr>
          <w:rFonts w:ascii="Theinhardt Bold" w:hAnsi="Theinhardt Bold"/>
          <w:b/>
          <w:color w:val="231F20"/>
          <w:spacing w:val="-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kantonale</w:t>
      </w:r>
      <w:r>
        <w:rPr>
          <w:rFonts w:ascii="Theinhardt Bold" w:hAnsi="Theinhardt Bold"/>
          <w:b/>
          <w:color w:val="231F20"/>
          <w:spacing w:val="6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Wirtschaftspolitik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Universität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Zürich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ist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seit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1975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diversen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Funktionen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unermüd-</w:t>
      </w:r>
      <w:r>
        <w:rPr>
          <w:rFonts w:ascii="Theinhardt Bold" w:hAnsi="Theinhardt Bold"/>
          <w:b/>
          <w:color w:val="231F20"/>
          <w:spacing w:val="7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lich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aktiv.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seiner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beruflichen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Tätigkeit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leistete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wesentliche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Beiträge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eine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nachhaltigere</w:t>
      </w:r>
      <w:r>
        <w:rPr>
          <w:rFonts w:ascii="Theinhardt Bold" w:hAnsi="Theinhardt Bold"/>
          <w:b/>
          <w:color w:val="231F20"/>
          <w:spacing w:val="3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Entwicklung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erneuerbarer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Energien,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Solarenergie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Energieeffizienz.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Ruedi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Meier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gelang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es,</w:t>
      </w:r>
      <w:r>
        <w:rPr>
          <w:rFonts w:ascii="Theinhardt Bold" w:hAnsi="Theinhardt Bold"/>
          <w:b/>
          <w:color w:val="231F20"/>
          <w:spacing w:val="6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seine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theoretischen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Arbeiten,</w:t>
      </w:r>
      <w:r>
        <w:rPr>
          <w:rFonts w:ascii="Theinhardt Bold" w:hAnsi="Theinhardt Bold"/>
          <w:b/>
          <w:color w:val="231F20"/>
          <w:spacing w:val="-2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energiewirtschaftliche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Studien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Gutachten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mit</w:t>
      </w:r>
      <w:r>
        <w:rPr>
          <w:rFonts w:ascii="Theinhardt Bold" w:hAnsi="Theinhardt Bold"/>
          <w:b/>
          <w:color w:val="231F20"/>
          <w:spacing w:val="-1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wegweisendem</w:t>
      </w:r>
      <w:r>
        <w:rPr>
          <w:rFonts w:ascii="Theinhardt Bold" w:hAnsi="Theinhardt Bold"/>
          <w:b/>
          <w:color w:val="231F20"/>
          <w:spacing w:val="34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Charakter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Bereichen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Umwelt-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Verkehrsabgaben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sowie</w:t>
      </w:r>
      <w:r>
        <w:rPr>
          <w:rFonts w:ascii="Theinhardt Bold" w:hAnsi="Theinhardt Bold"/>
          <w:b/>
          <w:color w:val="231F20"/>
          <w:spacing w:val="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Klimaänderungen</w:t>
      </w:r>
      <w:r>
        <w:rPr>
          <w:rFonts w:ascii="Theinhardt Bold" w:hAnsi="Theinhardt Bold"/>
          <w:b/>
          <w:color w:val="231F20"/>
          <w:spacing w:val="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einfliessen</w:t>
      </w:r>
      <w:r>
        <w:rPr>
          <w:rFonts w:ascii="Theinhardt Bold" w:hAnsi="Theinhardt Bold"/>
          <w:b/>
          <w:color w:val="231F20"/>
          <w:spacing w:val="6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zu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lassen. Ruedi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Meiers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grosses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Engagement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diversen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Organisationen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führte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oft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zu</w:t>
      </w:r>
      <w:r>
        <w:rPr>
          <w:rFonts w:ascii="Theinhardt Bold" w:hAnsi="Theinhardt Bold"/>
          <w:b/>
          <w:color w:val="231F20"/>
          <w:spacing w:val="7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konkre-</w:t>
      </w:r>
      <w:r>
        <w:rPr>
          <w:rFonts w:ascii="Theinhardt Bold" w:hAnsi="Theinhardt Bold"/>
          <w:b/>
          <w:color w:val="231F20"/>
          <w:spacing w:val="4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ten</w:t>
      </w:r>
      <w:r>
        <w:rPr>
          <w:rFonts w:ascii="Theinhardt Bold" w:hAnsi="Theinhardt Bold"/>
          <w:b/>
          <w:color w:val="231F20"/>
          <w:spacing w:val="1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Projekten.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Seine</w:t>
      </w:r>
      <w:r>
        <w:rPr>
          <w:rFonts w:ascii="Theinhardt Bold" w:hAnsi="Theinhardt Bold"/>
          <w:b/>
          <w:color w:val="231F20"/>
          <w:spacing w:val="1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aktive</w:t>
      </w:r>
      <w:r>
        <w:rPr>
          <w:rFonts w:ascii="Theinhardt Bold" w:hAnsi="Theinhardt Bold"/>
          <w:b/>
          <w:color w:val="231F20"/>
          <w:spacing w:val="9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Tätigkeit</w:t>
      </w:r>
      <w:r>
        <w:rPr>
          <w:rFonts w:ascii="Theinhardt Bold" w:hAnsi="Theinhardt Bold"/>
          <w:b/>
          <w:color w:val="231F20"/>
          <w:spacing w:val="1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1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wirtschaftlichen</w:t>
      </w:r>
      <w:r>
        <w:rPr>
          <w:rFonts w:ascii="Theinhardt Bold" w:hAnsi="Theinhardt Bold"/>
          <w:b/>
          <w:color w:val="231F20"/>
          <w:spacing w:val="1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Forschung/Beratung</w:t>
      </w:r>
      <w:r>
        <w:rPr>
          <w:rFonts w:ascii="Theinhardt Bold" w:hAnsi="Theinhardt Bold"/>
          <w:b/>
          <w:color w:val="231F20"/>
          <w:spacing w:val="1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für</w:t>
      </w:r>
      <w:r>
        <w:rPr>
          <w:rFonts w:ascii="Theinhardt Bold" w:hAnsi="Theinhardt Bold"/>
          <w:b/>
          <w:color w:val="231F20"/>
          <w:spacing w:val="1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energie-</w:t>
      </w:r>
      <w:r>
        <w:rPr>
          <w:rFonts w:ascii="Theinhardt Bold" w:hAnsi="Theinhardt Bold"/>
          <w:b/>
          <w:color w:val="231F20"/>
          <w:spacing w:val="86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cluster.ch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für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energieeffiziente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Gebäude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fand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Fachwelt,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Politik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und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auch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in</w:t>
      </w:r>
      <w:r>
        <w:rPr>
          <w:rFonts w:ascii="Theinhardt Bold" w:hAnsi="Theinhardt Bold"/>
          <w:b/>
          <w:color w:val="231F20"/>
          <w:spacing w:val="1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4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Öffentlichkeit</w:t>
      </w:r>
      <w:r>
        <w:rPr>
          <w:rFonts w:ascii="Theinhardt Bold" w:hAnsi="Theinhardt Bold"/>
          <w:b/>
          <w:color w:val="231F20"/>
          <w:sz w:val="18"/>
        </w:rPr>
        <w:t> ein grosses Echo.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Dafür </w:t>
      </w:r>
      <w:r>
        <w:rPr>
          <w:rFonts w:ascii="Theinhardt Bold" w:hAnsi="Theinhardt Bold"/>
          <w:b/>
          <w:color w:val="231F20"/>
          <w:spacing w:val="-1"/>
          <w:sz w:val="18"/>
        </w:rPr>
        <w:t>verdient</w:t>
      </w:r>
      <w:r>
        <w:rPr>
          <w:rFonts w:ascii="Theinhardt Bold" w:hAnsi="Theinhardt Bold"/>
          <w:b/>
          <w:color w:val="231F20"/>
          <w:sz w:val="18"/>
        </w:rPr>
        <w:t> Ruedi </w:t>
      </w:r>
      <w:r>
        <w:rPr>
          <w:rFonts w:ascii="Theinhardt Bold" w:hAnsi="Theinhardt Bold"/>
          <w:b/>
          <w:color w:val="231F20"/>
          <w:spacing w:val="-1"/>
          <w:sz w:val="18"/>
        </w:rPr>
        <w:t>Meier</w:t>
      </w:r>
      <w:r>
        <w:rPr>
          <w:rFonts w:ascii="Theinhardt Bold" w:hAnsi="Theinhardt Bold"/>
          <w:b/>
          <w:color w:val="231F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Schweizer</w:t>
      </w:r>
      <w:r>
        <w:rPr>
          <w:rFonts w:ascii="Theinhardt Bold" w:hAnsi="Theinhardt Bold"/>
          <w:b/>
          <w:color w:val="231F20"/>
          <w:sz w:val="18"/>
        </w:rPr>
        <w:t> Solarpreis 2019.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D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.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pacing w:val="3"/>
          <w:sz w:val="40"/>
        </w:rPr>
        <w:t>R</w:t>
      </w:r>
      <w:r>
        <w:rPr>
          <w:rFonts w:ascii="Theinhardt Black" w:hAnsi="Theinhardt Black"/>
          <w:b/>
          <w:color w:val="0067B1"/>
          <w:spacing w:val="2"/>
          <w:sz w:val="40"/>
        </w:rPr>
        <w:t>u</w:t>
      </w:r>
      <w:r>
        <w:rPr>
          <w:rFonts w:ascii="Theinhardt Black" w:hAnsi="Theinhardt Black"/>
          <w:b/>
          <w:color w:val="0067B1"/>
          <w:spacing w:val="8"/>
          <w:sz w:val="40"/>
        </w:rPr>
        <w:t>e</w:t>
      </w:r>
      <w:r>
        <w:rPr>
          <w:rFonts w:ascii="Theinhardt Black" w:hAnsi="Theinhardt Black"/>
          <w:b/>
          <w:color w:val="0067B1"/>
          <w:spacing w:val="4"/>
          <w:sz w:val="40"/>
        </w:rPr>
        <w:t>d</w:t>
      </w:r>
      <w:r>
        <w:rPr>
          <w:rFonts w:ascii="Theinhardt Black" w:hAnsi="Theinhardt Black"/>
          <w:b/>
          <w:color w:val="0067B1"/>
          <w:sz w:val="40"/>
        </w:rPr>
        <w:t>i </w:t>
      </w:r>
      <w:r>
        <w:rPr>
          <w:rFonts w:ascii="Theinhardt Black" w:hAnsi="Theinhardt Black"/>
          <w:b/>
          <w:color w:val="0067B1"/>
          <w:spacing w:val="4"/>
          <w:sz w:val="40"/>
        </w:rPr>
        <w:t>M</w:t>
      </w:r>
      <w:r>
        <w:rPr>
          <w:rFonts w:ascii="Theinhardt Black" w:hAnsi="Theinhardt Black"/>
          <w:b/>
          <w:color w:val="0067B1"/>
          <w:spacing w:val="2"/>
          <w:sz w:val="40"/>
        </w:rPr>
        <w:t>eie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pacing w:val="6"/>
          <w:sz w:val="40"/>
        </w:rPr>
        <w:t>Ö</w:t>
      </w:r>
      <w:r>
        <w:rPr>
          <w:rFonts w:ascii="Theinhardt Black" w:hAnsi="Theinhardt Black"/>
          <w:b/>
          <w:color w:val="0067B1"/>
          <w:spacing w:val="-2"/>
          <w:sz w:val="40"/>
        </w:rPr>
        <w:t>k</w:t>
      </w:r>
      <w:r>
        <w:rPr>
          <w:rFonts w:ascii="Theinhardt Black" w:hAnsi="Theinhardt Black"/>
          <w:b/>
          <w:color w:val="0067B1"/>
          <w:spacing w:val="2"/>
          <w:sz w:val="40"/>
        </w:rPr>
        <w:t>o</w:t>
      </w:r>
      <w:r>
        <w:rPr>
          <w:rFonts w:ascii="Theinhardt Black" w:hAnsi="Theinhardt Black"/>
          <w:b/>
          <w:color w:val="0067B1"/>
          <w:spacing w:val="1"/>
          <w:sz w:val="40"/>
        </w:rPr>
        <w:t>n</w:t>
      </w:r>
      <w:r>
        <w:rPr>
          <w:rFonts w:ascii="Theinhardt Black" w:hAnsi="Theinhardt Black"/>
          <w:b/>
          <w:color w:val="0067B1"/>
          <w:spacing w:val="2"/>
          <w:sz w:val="40"/>
        </w:rPr>
        <w:t>o</w:t>
      </w:r>
      <w:r>
        <w:rPr>
          <w:rFonts w:ascii="Theinhardt Black" w:hAnsi="Theinhardt Black"/>
          <w:b/>
          <w:color w:val="0067B1"/>
          <w:sz w:val="40"/>
        </w:rPr>
        <w:t>m </w:t>
      </w:r>
      <w:r>
        <w:rPr>
          <w:rFonts w:ascii="Theinhardt Black" w:hAnsi="Theinhardt Black"/>
          <w:b/>
          <w:color w:val="0067B1"/>
          <w:spacing w:val="2"/>
          <w:sz w:val="40"/>
        </w:rPr>
        <w:t>u</w:t>
      </w:r>
      <w:r>
        <w:rPr>
          <w:rFonts w:ascii="Theinhardt Black" w:hAnsi="Theinhardt Black"/>
          <w:b/>
          <w:color w:val="0067B1"/>
          <w:spacing w:val="1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d </w:t>
      </w:r>
      <w:r>
        <w:rPr>
          <w:rFonts w:ascii="Theinhardt Black" w:hAnsi="Theinhardt Black"/>
          <w:b/>
          <w:color w:val="0067B1"/>
          <w:spacing w:val="8"/>
          <w:sz w:val="40"/>
        </w:rPr>
        <w:t>R</w:t>
      </w:r>
      <w:r>
        <w:rPr>
          <w:rFonts w:ascii="Theinhardt Black" w:hAnsi="Theinhardt Black"/>
          <w:b/>
          <w:color w:val="0067B1"/>
          <w:spacing w:val="4"/>
          <w:sz w:val="40"/>
        </w:rPr>
        <w:t>a</w:t>
      </w:r>
      <w:r>
        <w:rPr>
          <w:rFonts w:ascii="Theinhardt Black" w:hAnsi="Theinhardt Black"/>
          <w:b/>
          <w:color w:val="0067B1"/>
          <w:spacing w:val="2"/>
          <w:sz w:val="40"/>
        </w:rPr>
        <w:t>ump</w:t>
      </w:r>
      <w:r>
        <w:rPr>
          <w:rFonts w:ascii="Theinhardt Black" w:hAnsi="Theinhardt Black"/>
          <w:b/>
          <w:color w:val="0067B1"/>
          <w:spacing w:val="6"/>
          <w:sz w:val="40"/>
        </w:rPr>
        <w:t>l</w:t>
      </w:r>
      <w:r>
        <w:rPr>
          <w:rFonts w:ascii="Theinhardt Black" w:hAnsi="Theinhardt Black"/>
          <w:b/>
          <w:color w:val="0067B1"/>
          <w:spacing w:val="4"/>
          <w:sz w:val="40"/>
        </w:rPr>
        <w:t>a</w:t>
      </w:r>
      <w:r>
        <w:rPr>
          <w:rFonts w:ascii="Theinhardt Black" w:hAnsi="Theinhardt Black"/>
          <w:b/>
          <w:color w:val="0067B1"/>
          <w:spacing w:val="1"/>
          <w:sz w:val="40"/>
        </w:rPr>
        <w:t>n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3011 </w:t>
      </w:r>
      <w:r>
        <w:rPr>
          <w:rFonts w:ascii="Theinhardt Black" w:hAnsi="Theinhardt Black"/>
          <w:b/>
          <w:color w:val="0067B1"/>
          <w:spacing w:val="8"/>
          <w:sz w:val="40"/>
        </w:rPr>
        <w:t>B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7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n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8" w:firstLine="0"/>
        <w:jc w:val="both"/>
      </w:pPr>
      <w:r>
        <w:rPr>
          <w:color w:val="231F20"/>
          <w:spacing w:val="-5"/>
        </w:rPr>
        <w:t>Dr.</w:t>
      </w:r>
      <w:r>
        <w:rPr>
          <w:color w:val="231F20"/>
          <w:spacing w:val="-17"/>
        </w:rPr>
        <w:t> </w:t>
      </w:r>
      <w:r>
        <w:rPr>
          <w:color w:val="231F20"/>
        </w:rPr>
        <w:t>oec.</w:t>
      </w:r>
      <w:r>
        <w:rPr>
          <w:color w:val="231F20"/>
          <w:spacing w:val="-17"/>
        </w:rPr>
        <w:t> </w:t>
      </w:r>
      <w:r>
        <w:rPr>
          <w:color w:val="231F20"/>
        </w:rPr>
        <w:t>publ./Raumplaner</w:t>
      </w:r>
      <w:r>
        <w:rPr>
          <w:color w:val="231F20"/>
          <w:spacing w:val="-6"/>
        </w:rPr>
        <w:t> </w:t>
      </w:r>
      <w:r>
        <w:rPr>
          <w:color w:val="231F20"/>
        </w:rPr>
        <w:t>ETH</w:t>
      </w:r>
      <w:r>
        <w:rPr>
          <w:color w:val="231F20"/>
          <w:spacing w:val="-6"/>
        </w:rPr>
        <w:t> </w:t>
      </w:r>
      <w:r>
        <w:rPr>
          <w:color w:val="231F20"/>
        </w:rPr>
        <w:t>Ruedi</w:t>
      </w:r>
      <w:r>
        <w:rPr>
          <w:color w:val="231F20"/>
          <w:spacing w:val="-6"/>
        </w:rPr>
        <w:t> </w:t>
      </w:r>
      <w:r>
        <w:rPr>
          <w:color w:val="231F20"/>
        </w:rPr>
        <w:t>Meier</w:t>
      </w:r>
      <w:r>
        <w:rPr>
          <w:color w:val="231F20"/>
          <w:spacing w:val="24"/>
        </w:rPr>
        <w:t> </w:t>
      </w:r>
      <w:r>
        <w:rPr>
          <w:color w:val="231F20"/>
        </w:rPr>
        <w:t>ist</w:t>
      </w:r>
      <w:r>
        <w:rPr>
          <w:color w:val="231F20"/>
          <w:spacing w:val="-15"/>
        </w:rPr>
        <w:t> </w:t>
      </w:r>
      <w:r>
        <w:rPr>
          <w:color w:val="231F20"/>
        </w:rPr>
        <w:t>eine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Persönlichkeit</w:t>
      </w:r>
      <w:r>
        <w:rPr>
          <w:color w:val="231F20"/>
          <w:spacing w:val="-15"/>
        </w:rPr>
        <w:t> </w:t>
      </w:r>
      <w:r>
        <w:rPr>
          <w:color w:val="231F20"/>
        </w:rPr>
        <w:t>mit</w:t>
      </w:r>
      <w:r>
        <w:rPr>
          <w:color w:val="231F20"/>
          <w:spacing w:val="-15"/>
        </w:rPr>
        <w:t> </w:t>
      </w:r>
      <w:r>
        <w:rPr>
          <w:color w:val="231F20"/>
        </w:rPr>
        <w:t>vielen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Facetten.</w:t>
      </w:r>
      <w:r>
        <w:rPr>
          <w:color w:val="231F20"/>
          <w:spacing w:val="-26"/>
        </w:rPr>
        <w:t> </w:t>
      </w:r>
      <w:r>
        <w:rPr>
          <w:color w:val="231F20"/>
        </w:rPr>
        <w:t>Er</w:t>
      </w:r>
      <w:r>
        <w:rPr>
          <w:color w:val="231F20"/>
          <w:spacing w:val="28"/>
        </w:rPr>
        <w:t> </w:t>
      </w:r>
      <w:r>
        <w:rPr>
          <w:color w:val="231F20"/>
        </w:rPr>
        <w:t>leistete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wesentliche</w:t>
      </w:r>
      <w:r>
        <w:rPr>
          <w:color w:val="231F20"/>
          <w:spacing w:val="2"/>
        </w:rPr>
        <w:t> </w:t>
      </w:r>
      <w:r>
        <w:rPr>
          <w:color w:val="231F20"/>
        </w:rPr>
        <w:t>Beiträge</w:t>
      </w:r>
      <w:r>
        <w:rPr>
          <w:color w:val="231F20"/>
          <w:spacing w:val="2"/>
        </w:rPr>
        <w:t> </w:t>
      </w:r>
      <w:r>
        <w:rPr>
          <w:color w:val="231F20"/>
        </w:rPr>
        <w:t>für</w:t>
      </w:r>
      <w:r>
        <w:rPr>
          <w:color w:val="231F20"/>
          <w:spacing w:val="2"/>
        </w:rPr>
        <w:t> </w:t>
      </w:r>
      <w:r>
        <w:rPr>
          <w:color w:val="231F20"/>
        </w:rPr>
        <w:t>eine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nach-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haltigere</w:t>
      </w:r>
      <w:r>
        <w:rPr>
          <w:color w:val="231F20"/>
          <w:spacing w:val="7"/>
        </w:rPr>
        <w:t> </w:t>
      </w:r>
      <w:r>
        <w:rPr>
          <w:color w:val="231F20"/>
        </w:rPr>
        <w:t>Entwicklung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erneuerbarer</w:t>
      </w:r>
      <w:r>
        <w:rPr>
          <w:color w:val="231F20"/>
          <w:spacing w:val="7"/>
        </w:rPr>
        <w:t> </w:t>
      </w:r>
      <w:r>
        <w:rPr>
          <w:color w:val="231F20"/>
        </w:rPr>
        <w:t>Ener-</w:t>
      </w:r>
      <w:r>
        <w:rPr>
          <w:color w:val="231F20"/>
          <w:spacing w:val="20"/>
        </w:rPr>
        <w:t> </w:t>
      </w:r>
      <w:r>
        <w:rPr>
          <w:color w:val="231F20"/>
        </w:rPr>
        <w:t>gien,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Solarenergie</w:t>
      </w:r>
      <w:r>
        <w:rPr>
          <w:color w:val="231F20"/>
          <w:spacing w:val="47"/>
        </w:rPr>
        <w:t> </w:t>
      </w:r>
      <w:r>
        <w:rPr>
          <w:color w:val="231F20"/>
        </w:rPr>
        <w:t>und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energieeffiziente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Gebäudestandards.</w:t>
      </w:r>
      <w:r>
        <w:rPr>
          <w:color w:val="231F20"/>
          <w:spacing w:val="11"/>
        </w:rPr>
        <w:t> </w:t>
      </w:r>
      <w:r>
        <w:rPr>
          <w:color w:val="231F20"/>
        </w:rPr>
        <w:t>Dazu</w:t>
      </w:r>
      <w:r>
        <w:rPr>
          <w:color w:val="231F20"/>
          <w:spacing w:val="22"/>
        </w:rPr>
        <w:t> </w:t>
      </w:r>
      <w:r>
        <w:rPr>
          <w:color w:val="231F20"/>
        </w:rPr>
        <w:t>ist</w:t>
      </w:r>
      <w:r>
        <w:rPr>
          <w:color w:val="231F20"/>
          <w:spacing w:val="22"/>
        </w:rPr>
        <w:t> </w:t>
      </w:r>
      <w:r>
        <w:rPr>
          <w:color w:val="231F20"/>
        </w:rPr>
        <w:t>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beratender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Oekonom</w:t>
      </w:r>
      <w:r>
        <w:rPr>
          <w:color w:val="231F20"/>
          <w:spacing w:val="35"/>
        </w:rPr>
        <w:t> </w:t>
      </w:r>
      <w:r>
        <w:rPr>
          <w:color w:val="231F20"/>
        </w:rPr>
        <w:t>und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Forscher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den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Bereichen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Wirtschaft,</w:t>
      </w:r>
      <w:r>
        <w:rPr>
          <w:color w:val="231F20"/>
          <w:spacing w:val="44"/>
        </w:rPr>
        <w:t> </w:t>
      </w:r>
      <w:r>
        <w:rPr>
          <w:color w:val="231F20"/>
          <w:spacing w:val="-5"/>
        </w:rPr>
        <w:t>Verkehr,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18"/>
        </w:rPr>
        <w:t> </w:t>
      </w:r>
      <w:r>
        <w:rPr>
          <w:color w:val="231F20"/>
        </w:rPr>
        <w:t>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Umwelt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32"/>
        </w:rPr>
        <w:t> </w:t>
      </w:r>
      <w:r>
        <w:rPr>
          <w:color w:val="231F20"/>
        </w:rPr>
        <w:t>Autor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diverser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Fachbücher,</w:t>
      </w:r>
      <w:r>
        <w:rPr>
          <w:color w:val="231F20"/>
          <w:spacing w:val="22"/>
        </w:rPr>
        <w:t> </w:t>
      </w:r>
      <w:r>
        <w:rPr>
          <w:color w:val="231F20"/>
        </w:rPr>
        <w:t>Gutach-</w:t>
      </w:r>
      <w:r>
        <w:rPr>
          <w:color w:val="231F20"/>
          <w:spacing w:val="25"/>
        </w:rPr>
        <w:t> </w:t>
      </w:r>
      <w:r>
        <w:rPr>
          <w:color w:val="231F20"/>
        </w:rPr>
        <w:t>ten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Forschungsberichte.</w:t>
      </w:r>
      <w:r>
        <w:rPr>
          <w:color w:val="231F20"/>
          <w:spacing w:val="-13"/>
        </w:rPr>
        <w:t> </w:t>
      </w:r>
      <w:r>
        <w:rPr>
          <w:color w:val="231F20"/>
        </w:rPr>
        <w:t>Er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besitzt</w:t>
      </w:r>
      <w:r>
        <w:rPr>
          <w:color w:val="231F20"/>
          <w:spacing w:val="-2"/>
        </w:rPr>
        <w:t> </w:t>
      </w:r>
      <w:r>
        <w:rPr>
          <w:color w:val="231F20"/>
        </w:rPr>
        <w:t>eine</w:t>
      </w:r>
      <w:r>
        <w:rPr>
          <w:color w:val="231F20"/>
          <w:spacing w:val="29"/>
        </w:rPr>
        <w:t> </w:t>
      </w:r>
      <w:r>
        <w:rPr>
          <w:color w:val="231F20"/>
        </w:rPr>
        <w:t>eigene</w:t>
      </w:r>
      <w:r>
        <w:rPr>
          <w:color w:val="231F20"/>
          <w:spacing w:val="1"/>
        </w:rPr>
        <w:t> </w:t>
      </w:r>
      <w:r>
        <w:rPr>
          <w:color w:val="231F20"/>
        </w:rPr>
        <w:t>Galerie,</w:t>
      </w:r>
      <w:r>
        <w:rPr>
          <w:color w:val="231F20"/>
          <w:spacing w:val="-10"/>
        </w:rPr>
        <w:t> </w:t>
      </w:r>
      <w:r>
        <w:rPr>
          <w:color w:val="231F20"/>
        </w:rPr>
        <w:t>ist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selbst</w:t>
      </w:r>
      <w:r>
        <w:rPr>
          <w:color w:val="231F20"/>
          <w:spacing w:val="1"/>
        </w:rPr>
        <w:t> </w:t>
      </w:r>
      <w:r>
        <w:rPr>
          <w:color w:val="231F20"/>
        </w:rPr>
        <w:t>Maler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begeis-</w:t>
      </w:r>
      <w:r>
        <w:rPr>
          <w:color w:val="231F20"/>
          <w:spacing w:val="30"/>
        </w:rPr>
        <w:t> </w:t>
      </w:r>
      <w:r>
        <w:rPr>
          <w:color w:val="231F20"/>
        </w:rPr>
        <w:t>terter </w:t>
      </w:r>
      <w:r>
        <w:rPr>
          <w:color w:val="231F20"/>
          <w:spacing w:val="-1"/>
        </w:rPr>
        <w:t>Sportler.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4"/>
        </w:rPr>
        <w:t>Von</w:t>
      </w:r>
      <w:r>
        <w:rPr>
          <w:color w:val="231F20"/>
          <w:spacing w:val="-1"/>
        </w:rPr>
        <w:t> </w:t>
      </w:r>
      <w:r>
        <w:rPr>
          <w:color w:val="231F20"/>
        </w:rPr>
        <w:t>1997</w:t>
      </w:r>
      <w:r>
        <w:rPr>
          <w:color w:val="231F20"/>
          <w:spacing w:val="-1"/>
        </w:rPr>
        <w:t> </w:t>
      </w:r>
      <w:r>
        <w:rPr>
          <w:color w:val="231F20"/>
        </w:rPr>
        <w:t>bis</w:t>
      </w:r>
      <w:r>
        <w:rPr>
          <w:color w:val="231F20"/>
          <w:spacing w:val="-1"/>
        </w:rPr>
        <w:t> </w:t>
      </w:r>
      <w:r>
        <w:rPr>
          <w:color w:val="231F20"/>
        </w:rPr>
        <w:t>2004</w:t>
      </w:r>
      <w:r>
        <w:rPr>
          <w:color w:val="231F20"/>
          <w:spacing w:val="-1"/>
        </w:rPr>
        <w:t> </w:t>
      </w:r>
      <w:r>
        <w:rPr>
          <w:color w:val="231F20"/>
        </w:rPr>
        <w:t>arbeitete</w:t>
      </w:r>
      <w:r>
        <w:rPr>
          <w:color w:val="231F20"/>
          <w:spacing w:val="-1"/>
        </w:rPr>
        <w:t> </w:t>
      </w:r>
      <w:r>
        <w:rPr>
          <w:color w:val="231F20"/>
        </w:rPr>
        <w:t>Ruedi</w:t>
      </w:r>
      <w:r>
        <w:rPr>
          <w:color w:val="231F20"/>
          <w:spacing w:val="-1"/>
        </w:rPr>
        <w:t> </w:t>
      </w:r>
      <w:r>
        <w:rPr>
          <w:color w:val="231F20"/>
        </w:rPr>
        <w:t>Mei-</w:t>
      </w:r>
      <w:r>
        <w:rPr>
          <w:color w:val="231F20"/>
          <w:spacing w:val="22"/>
        </w:rPr>
        <w:t> </w:t>
      </w:r>
      <w:r>
        <w:rPr>
          <w:color w:val="231F20"/>
          <w:spacing w:val="-5"/>
        </w:rPr>
        <w:t>er,</w:t>
      </w:r>
      <w:r>
        <w:rPr>
          <w:color w:val="231F20"/>
          <w:spacing w:val="-25"/>
        </w:rPr>
        <w:t> </w:t>
      </w:r>
      <w:r>
        <w:rPr>
          <w:color w:val="231F20"/>
        </w:rPr>
        <w:t>überzeugt</w:t>
      </w:r>
      <w:r>
        <w:rPr>
          <w:color w:val="231F20"/>
          <w:spacing w:val="-15"/>
        </w:rPr>
        <w:t> </w:t>
      </w:r>
      <w:r>
        <w:rPr>
          <w:color w:val="231F20"/>
        </w:rPr>
        <w:t>von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seinen</w:t>
      </w:r>
      <w:r>
        <w:rPr>
          <w:color w:val="231F20"/>
          <w:spacing w:val="-15"/>
        </w:rPr>
        <w:t> </w:t>
      </w:r>
      <w:r>
        <w:rPr>
          <w:color w:val="231F20"/>
        </w:rPr>
        <w:t>Ideen</w:t>
      </w:r>
      <w:r>
        <w:rPr>
          <w:color w:val="231F20"/>
          <w:spacing w:val="-15"/>
        </w:rPr>
        <w:t> </w:t>
      </w:r>
      <w:r>
        <w:rPr>
          <w:color w:val="231F20"/>
        </w:rPr>
        <w:t>und</w:t>
      </w:r>
      <w:r>
        <w:rPr>
          <w:color w:val="231F20"/>
          <w:spacing w:val="-25"/>
        </w:rPr>
        <w:t> </w:t>
      </w:r>
      <w:r>
        <w:rPr>
          <w:color w:val="231F20"/>
        </w:rPr>
        <w:t>Visionen,</w:t>
      </w:r>
      <w:r>
        <w:rPr>
          <w:color w:val="231F20"/>
          <w:spacing w:val="25"/>
        </w:rPr>
        <w:t> </w:t>
      </w:r>
      <w:r>
        <w:rPr>
          <w:color w:val="231F20"/>
        </w:rPr>
        <w:t>als</w:t>
      </w:r>
      <w:r>
        <w:rPr>
          <w:color w:val="231F20"/>
          <w:spacing w:val="24"/>
        </w:rPr>
        <w:t> </w:t>
      </w:r>
      <w:r>
        <w:rPr>
          <w:color w:val="231F20"/>
        </w:rPr>
        <w:t>Co-Initiant</w:t>
      </w:r>
      <w:r>
        <w:rPr>
          <w:color w:val="231F20"/>
          <w:spacing w:val="25"/>
        </w:rPr>
        <w:t> </w:t>
      </w:r>
      <w:r>
        <w:rPr>
          <w:color w:val="231F20"/>
        </w:rPr>
        <w:t>des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Minergie</w:t>
      </w:r>
      <w:r>
        <w:rPr>
          <w:color w:val="231F20"/>
          <w:spacing w:val="25"/>
        </w:rPr>
        <w:t> </w:t>
      </w:r>
      <w:r>
        <w:rPr>
          <w:color w:val="231F20"/>
        </w:rPr>
        <w:t>Gebäudestan-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dards.</w:t>
      </w:r>
      <w:r>
        <w:rPr>
          <w:color w:val="231F20"/>
          <w:spacing w:val="9"/>
        </w:rPr>
        <w:t> </w:t>
      </w:r>
      <w:r>
        <w:rPr>
          <w:color w:val="231F20"/>
        </w:rPr>
        <w:t>Als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Minergie-Vorstandsmitglied</w:t>
      </w:r>
      <w:r>
        <w:rPr>
          <w:color w:val="231F20"/>
          <w:spacing w:val="20"/>
        </w:rPr>
        <w:t> </w:t>
      </w:r>
      <w:r>
        <w:rPr>
          <w:color w:val="231F20"/>
        </w:rPr>
        <w:t>liess</w:t>
      </w:r>
      <w:r>
        <w:rPr>
          <w:color w:val="231F20"/>
          <w:spacing w:val="27"/>
        </w:rPr>
        <w:t> </w:t>
      </w:r>
      <w:r>
        <w:rPr>
          <w:color w:val="231F20"/>
        </w:rPr>
        <w:t>Ruedi</w:t>
      </w:r>
      <w:r>
        <w:rPr>
          <w:color w:val="231F20"/>
          <w:spacing w:val="37"/>
        </w:rPr>
        <w:t> </w:t>
      </w:r>
      <w:r>
        <w:rPr>
          <w:color w:val="231F20"/>
        </w:rPr>
        <w:t>Meier</w:t>
      </w:r>
      <w:r>
        <w:rPr>
          <w:color w:val="231F20"/>
          <w:spacing w:val="38"/>
        </w:rPr>
        <w:t> </w:t>
      </w:r>
      <w:r>
        <w:rPr>
          <w:color w:val="231F20"/>
        </w:rPr>
        <w:t>sich</w:t>
      </w:r>
      <w:r>
        <w:rPr>
          <w:color w:val="231F20"/>
          <w:spacing w:val="37"/>
        </w:rPr>
        <w:t> </w:t>
      </w:r>
      <w:r>
        <w:rPr>
          <w:color w:val="231F20"/>
        </w:rPr>
        <w:t>auch</w:t>
      </w:r>
      <w:r>
        <w:rPr>
          <w:color w:val="231F20"/>
          <w:spacing w:val="38"/>
        </w:rPr>
        <w:t> </w:t>
      </w:r>
      <w:r>
        <w:rPr>
          <w:color w:val="231F20"/>
        </w:rPr>
        <w:t>von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Rückschlägen</w:t>
      </w:r>
      <w:r>
        <w:rPr>
          <w:color w:val="231F20"/>
          <w:spacing w:val="22"/>
        </w:rPr>
        <w:t> </w:t>
      </w:r>
      <w:r>
        <w:rPr>
          <w:color w:val="231F20"/>
        </w:rPr>
        <w:t>nicht </w:t>
      </w:r>
      <w:r>
        <w:rPr>
          <w:color w:val="231F20"/>
          <w:spacing w:val="-1"/>
        </w:rPr>
        <w:t>entmutigen.</w:t>
      </w:r>
      <w:r>
        <w:rPr>
          <w:color w:val="231F20"/>
          <w:spacing w:val="38"/>
        </w:rPr>
        <w:t> </w:t>
      </w:r>
      <w:r>
        <w:rPr>
          <w:color w:val="231F20"/>
        </w:rPr>
        <w:t>Er überzeugte </w:t>
      </w:r>
      <w:r>
        <w:rPr>
          <w:color w:val="231F20"/>
          <w:spacing w:val="-1"/>
        </w:rPr>
        <w:t>schluss-</w:t>
      </w:r>
      <w:r>
        <w:rPr>
          <w:color w:val="231F20"/>
          <w:spacing w:val="33"/>
        </w:rPr>
        <w:t> </w:t>
      </w:r>
      <w:r>
        <w:rPr>
          <w:color w:val="231F20"/>
        </w:rPr>
        <w:t>endlich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Kantone,</w:t>
      </w:r>
      <w:r>
        <w:rPr>
          <w:color w:val="231F20"/>
          <w:spacing w:val="3"/>
        </w:rPr>
        <w:t> </w:t>
      </w:r>
      <w:r>
        <w:rPr>
          <w:color w:val="231F20"/>
        </w:rPr>
        <w:t>das</w:t>
      </w:r>
      <w:r>
        <w:rPr>
          <w:color w:val="231F20"/>
          <w:spacing w:val="14"/>
        </w:rPr>
        <w:t> </w:t>
      </w:r>
      <w:r>
        <w:rPr>
          <w:color w:val="231F20"/>
        </w:rPr>
        <w:t>Bundesamt</w:t>
      </w:r>
      <w:r>
        <w:rPr>
          <w:color w:val="231F20"/>
          <w:spacing w:val="14"/>
        </w:rPr>
        <w:t> </w:t>
      </w:r>
      <w:r>
        <w:rPr>
          <w:color w:val="231F20"/>
        </w:rPr>
        <w:t>für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26"/>
        </w:rPr>
        <w:t> </w:t>
      </w:r>
      <w:r>
        <w:rPr>
          <w:color w:val="231F20"/>
        </w:rPr>
        <w:t>gie</w:t>
      </w:r>
      <w:r>
        <w:rPr>
          <w:color w:val="231F20"/>
          <w:spacing w:val="30"/>
        </w:rPr>
        <w:t> </w:t>
      </w:r>
      <w:r>
        <w:rPr>
          <w:color w:val="231F20"/>
        </w:rPr>
        <w:t>(BFE)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EnergieSchweiz</w:t>
      </w:r>
      <w:r>
        <w:rPr>
          <w:color w:val="231F20"/>
          <w:spacing w:val="31"/>
        </w:rPr>
        <w:t> </w:t>
      </w:r>
      <w:r>
        <w:rPr>
          <w:color w:val="231F20"/>
        </w:rPr>
        <w:t>von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seinen</w:t>
      </w:r>
      <w:r>
        <w:rPr>
          <w:color w:val="231F20"/>
          <w:spacing w:val="29"/>
        </w:rPr>
        <w:t> </w:t>
      </w:r>
      <w:r>
        <w:rPr>
          <w:color w:val="231F20"/>
        </w:rPr>
        <w:t>fortschrittlichen</w:t>
      </w:r>
      <w:r>
        <w:rPr>
          <w:color w:val="231F20"/>
          <w:spacing w:val="10"/>
        </w:rPr>
        <w:t> </w:t>
      </w:r>
      <w:r>
        <w:rPr>
          <w:color w:val="231F20"/>
        </w:rPr>
        <w:t>Ideen.</w:t>
      </w:r>
      <w:r>
        <w:rPr>
          <w:color w:val="231F20"/>
          <w:spacing w:val="-1"/>
        </w:rPr>
        <w:t> </w:t>
      </w:r>
      <w:r>
        <w:rPr>
          <w:color w:val="231F20"/>
        </w:rPr>
        <w:t>Der</w:t>
      </w:r>
      <w:r>
        <w:rPr>
          <w:color w:val="231F20"/>
          <w:spacing w:val="10"/>
        </w:rPr>
        <w:t> </w:t>
      </w:r>
      <w:r>
        <w:rPr>
          <w:color w:val="231F20"/>
        </w:rPr>
        <w:t>auch</w:t>
      </w:r>
      <w:r>
        <w:rPr>
          <w:color w:val="231F20"/>
          <w:spacing w:val="10"/>
        </w:rPr>
        <w:t> </w:t>
      </w:r>
      <w:r>
        <w:rPr>
          <w:color w:val="231F20"/>
        </w:rPr>
        <w:t>von</w:t>
      </w:r>
      <w:r>
        <w:rPr>
          <w:color w:val="231F20"/>
          <w:spacing w:val="10"/>
        </w:rPr>
        <w:t> </w:t>
      </w:r>
      <w:r>
        <w:rPr>
          <w:color w:val="231F20"/>
        </w:rPr>
        <w:t>Ruedi</w:t>
      </w:r>
      <w:r>
        <w:rPr>
          <w:color w:val="231F20"/>
          <w:spacing w:val="22"/>
        </w:rPr>
        <w:t> </w:t>
      </w:r>
      <w:r>
        <w:rPr>
          <w:color w:val="231F20"/>
        </w:rPr>
        <w:t>Meier</w:t>
      </w:r>
      <w:r>
        <w:rPr>
          <w:color w:val="231F20"/>
          <w:spacing w:val="10"/>
        </w:rPr>
        <w:t> </w:t>
      </w:r>
      <w:r>
        <w:rPr>
          <w:color w:val="231F20"/>
        </w:rPr>
        <w:t>unterstützte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Minergie-P-Baustandard</w:t>
      </w:r>
      <w:r>
        <w:rPr/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28"/>
          <w:szCs w:val="28"/>
        </w:rPr>
      </w:pPr>
    </w:p>
    <w:p>
      <w:pPr>
        <w:spacing w:line="200" w:lineRule="atLeast"/>
        <w:ind w:left="121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8359" cy="25420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59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24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3"/>
          <w:szCs w:val="13"/>
        </w:rPr>
      </w:pPr>
    </w:p>
    <w:p>
      <w:pPr>
        <w:spacing w:before="0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   </w:t>
      </w:r>
      <w:r>
        <w:rPr>
          <w:rFonts w:ascii="Theinhardt Bold"/>
          <w:b/>
          <w:color w:val="231F20"/>
          <w:spacing w:val="4"/>
          <w:sz w:val="14"/>
        </w:rPr>
        <w:t> </w:t>
      </w:r>
      <w:r>
        <w:rPr>
          <w:rFonts w:ascii="Theinhardt Bold"/>
          <w:b/>
          <w:color w:val="231F20"/>
          <w:spacing w:val="-4"/>
          <w:sz w:val="14"/>
        </w:rPr>
        <w:t>Dr.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Ruedi </w:t>
      </w:r>
      <w:r>
        <w:rPr>
          <w:rFonts w:ascii="Theinhardt Bold"/>
          <w:b/>
          <w:color w:val="231F20"/>
          <w:spacing w:val="-1"/>
          <w:sz w:val="14"/>
        </w:rPr>
        <w:t>Meier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52"/>
        <w:ind w:right="0" w:firstLine="0"/>
        <w:jc w:val="both"/>
      </w:pPr>
      <w:r>
        <w:rPr/>
        <w:br w:type="column"/>
      </w:r>
      <w:r>
        <w:rPr>
          <w:color w:val="231F20"/>
          <w:spacing w:val="-1"/>
        </w:rPr>
        <w:t>wurde</w:t>
      </w:r>
      <w:r>
        <w:rPr>
          <w:color w:val="231F20"/>
          <w:spacing w:val="15"/>
        </w:rPr>
        <w:t> </w:t>
      </w:r>
      <w:r>
        <w:rPr>
          <w:color w:val="231F20"/>
        </w:rPr>
        <w:t>zu</w:t>
      </w:r>
      <w:r>
        <w:rPr>
          <w:color w:val="231F20"/>
          <w:spacing w:val="15"/>
        </w:rPr>
        <w:t> </w:t>
      </w:r>
      <w:r>
        <w:rPr>
          <w:color w:val="231F20"/>
        </w:rPr>
        <w:t>einem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</w:rPr>
        <w:t>wichtigsten</w:t>
      </w:r>
      <w:r>
        <w:rPr>
          <w:color w:val="231F20"/>
          <w:spacing w:val="15"/>
        </w:rPr>
        <w:t> </w:t>
      </w:r>
      <w:r>
        <w:rPr>
          <w:color w:val="231F20"/>
        </w:rPr>
        <w:t>Bausteine</w:t>
      </w:r>
      <w:r>
        <w:rPr>
          <w:color w:val="231F20"/>
          <w:spacing w:val="25"/>
        </w:rPr>
        <w:t> </w:t>
      </w:r>
      <w:r>
        <w:rPr>
          <w:color w:val="231F20"/>
        </w:rPr>
        <w:t>für</w:t>
      </w:r>
      <w:r>
        <w:rPr>
          <w:color w:val="231F20"/>
          <w:spacing w:val="13"/>
        </w:rPr>
        <w:t> </w:t>
      </w:r>
      <w:r>
        <w:rPr>
          <w:color w:val="231F20"/>
        </w:rPr>
        <w:t>eine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erfolgreiche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Energiewende.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Miner-</w:t>
      </w:r>
      <w:r>
        <w:rPr>
          <w:color w:val="231F20"/>
          <w:spacing w:val="31"/>
        </w:rPr>
        <w:t> </w:t>
      </w:r>
      <w:r>
        <w:rPr>
          <w:color w:val="231F20"/>
        </w:rPr>
        <w:t>gie-P-Bauten</w:t>
      </w:r>
      <w:r>
        <w:rPr>
          <w:color w:val="231F20"/>
          <w:spacing w:val="9"/>
        </w:rPr>
        <w:t> </w:t>
      </w:r>
      <w:r>
        <w:rPr>
          <w:color w:val="231F20"/>
        </w:rPr>
        <w:t>bilden</w:t>
      </w:r>
      <w:r>
        <w:rPr>
          <w:color w:val="231F20"/>
          <w:spacing w:val="9"/>
        </w:rPr>
        <w:t> </w:t>
      </w:r>
      <w:r>
        <w:rPr>
          <w:color w:val="231F20"/>
        </w:rPr>
        <w:t>auch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immer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9"/>
        </w:rPr>
        <w:t> </w:t>
      </w:r>
      <w:r>
        <w:rPr>
          <w:color w:val="231F20"/>
        </w:rPr>
        <w:t>den</w:t>
      </w:r>
      <w:r>
        <w:rPr>
          <w:color w:val="231F20"/>
          <w:spacing w:val="30"/>
        </w:rPr>
        <w:t> </w:t>
      </w:r>
      <w:r>
        <w:rPr>
          <w:color w:val="231F20"/>
        </w:rPr>
        <w:t>Grundstein</w:t>
      </w:r>
      <w:r>
        <w:rPr>
          <w:color w:val="231F20"/>
          <w:spacing w:val="23"/>
        </w:rPr>
        <w:t> </w:t>
      </w:r>
      <w:r>
        <w:rPr>
          <w:color w:val="231F20"/>
        </w:rPr>
        <w:t>für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energieeffiziente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Solarpreisgebäude.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2004</w:t>
      </w:r>
      <w:r>
        <w:rPr>
          <w:color w:val="231F20"/>
          <w:spacing w:val="47"/>
        </w:rPr>
        <w:t> </w:t>
      </w:r>
      <w:r>
        <w:rPr>
          <w:color w:val="231F20"/>
        </w:rPr>
        <w:t>bis</w:t>
      </w:r>
      <w:r>
        <w:rPr>
          <w:color w:val="231F20"/>
          <w:spacing w:val="48"/>
        </w:rPr>
        <w:t> </w:t>
      </w:r>
      <w:r>
        <w:rPr>
          <w:color w:val="231F20"/>
        </w:rPr>
        <w:t>2011</w:t>
      </w:r>
      <w:r>
        <w:rPr>
          <w:color w:val="231F20"/>
          <w:spacing w:val="47"/>
        </w:rPr>
        <w:t> </w:t>
      </w:r>
      <w:r>
        <w:rPr>
          <w:color w:val="231F20"/>
        </w:rPr>
        <w:t>arbeitete</w:t>
      </w:r>
      <w:r>
        <w:rPr>
          <w:color w:val="231F20"/>
          <w:spacing w:val="48"/>
        </w:rPr>
        <w:t> </w:t>
      </w:r>
      <w:r>
        <w:rPr>
          <w:color w:val="231F20"/>
        </w:rPr>
        <w:t>Ruedi</w:t>
      </w:r>
      <w:r>
        <w:rPr>
          <w:color w:val="231F20"/>
          <w:spacing w:val="48"/>
        </w:rPr>
        <w:t> </w:t>
      </w:r>
      <w:r>
        <w:rPr>
          <w:color w:val="231F20"/>
        </w:rPr>
        <w:t>Meier</w:t>
      </w:r>
      <w:r>
        <w:rPr>
          <w:color w:val="231F20"/>
          <w:spacing w:val="22"/>
        </w:rPr>
        <w:t> </w:t>
      </w:r>
      <w:r>
        <w:rPr>
          <w:color w:val="231F20"/>
        </w:rPr>
        <w:t>als</w:t>
      </w:r>
      <w:r>
        <w:rPr>
          <w:color w:val="231F20"/>
          <w:spacing w:val="13"/>
        </w:rPr>
        <w:t> </w:t>
      </w:r>
      <w:r>
        <w:rPr>
          <w:color w:val="231F20"/>
        </w:rPr>
        <w:t>Gründungsmitglied</w:t>
      </w:r>
      <w:r>
        <w:rPr>
          <w:color w:val="231F20"/>
          <w:spacing w:val="13"/>
        </w:rPr>
        <w:t> </w:t>
      </w:r>
      <w:r>
        <w:rPr>
          <w:color w:val="231F20"/>
        </w:rPr>
        <w:t>und</w:t>
      </w:r>
      <w:r>
        <w:rPr>
          <w:color w:val="231F20"/>
          <w:spacing w:val="13"/>
        </w:rPr>
        <w:t> </w:t>
      </w:r>
      <w:r>
        <w:rPr>
          <w:color w:val="231F20"/>
        </w:rPr>
        <w:t>Geschäftsleiter</w:t>
      </w:r>
      <w:r>
        <w:rPr>
          <w:color w:val="231F20"/>
          <w:spacing w:val="28"/>
        </w:rPr>
        <w:t> </w:t>
      </w:r>
      <w:r>
        <w:rPr>
          <w:color w:val="231F20"/>
        </w:rPr>
        <w:t>des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energie-cluster.ch</w:t>
      </w:r>
      <w:r>
        <w:rPr>
          <w:color w:val="231F20"/>
          <w:spacing w:val="47"/>
        </w:rPr>
        <w:t> </w:t>
      </w:r>
      <w:r>
        <w:rPr>
          <w:color w:val="231F20"/>
        </w:rPr>
        <w:t>und</w:t>
      </w:r>
      <w:r>
        <w:rPr>
          <w:color w:val="231F20"/>
          <w:spacing w:val="46"/>
        </w:rPr>
        <w:t> </w:t>
      </w:r>
      <w:r>
        <w:rPr>
          <w:color w:val="231F20"/>
        </w:rPr>
        <w:t>von</w:t>
      </w:r>
      <w:r>
        <w:rPr>
          <w:color w:val="231F20"/>
          <w:spacing w:val="47"/>
        </w:rPr>
        <w:t> </w:t>
      </w:r>
      <w:r>
        <w:rPr>
          <w:color w:val="231F20"/>
        </w:rPr>
        <w:t>2011</w:t>
      </w:r>
      <w:r>
        <w:rPr>
          <w:color w:val="231F20"/>
          <w:spacing w:val="47"/>
        </w:rPr>
        <w:t> </w:t>
      </w:r>
      <w:r>
        <w:rPr>
          <w:color w:val="231F20"/>
        </w:rPr>
        <w:t>bis</w:t>
      </w:r>
      <w:r>
        <w:rPr>
          <w:color w:val="231F20"/>
          <w:spacing w:val="25"/>
        </w:rPr>
        <w:t> </w:t>
      </w:r>
      <w:r>
        <w:rPr>
          <w:color w:val="231F20"/>
        </w:rPr>
        <w:t>2018</w:t>
      </w:r>
      <w:r>
        <w:rPr>
          <w:color w:val="231F20"/>
          <w:spacing w:val="45"/>
        </w:rPr>
        <w:t> </w:t>
      </w:r>
      <w:r>
        <w:rPr>
          <w:color w:val="231F20"/>
        </w:rPr>
        <w:t>als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Präsident.</w:t>
      </w:r>
      <w:r>
        <w:rPr>
          <w:color w:val="231F20"/>
          <w:spacing w:val="34"/>
        </w:rPr>
        <w:t> </w:t>
      </w:r>
      <w:r>
        <w:rPr>
          <w:color w:val="231F20"/>
        </w:rPr>
        <w:t>Hier</w:t>
      </w:r>
      <w:r>
        <w:rPr>
          <w:color w:val="231F20"/>
          <w:spacing w:val="46"/>
        </w:rPr>
        <w:t> </w:t>
      </w:r>
      <w:r>
        <w:rPr>
          <w:color w:val="231F20"/>
        </w:rPr>
        <w:t>engagierte</w:t>
      </w:r>
      <w:r>
        <w:rPr>
          <w:color w:val="231F20"/>
          <w:spacing w:val="46"/>
        </w:rPr>
        <w:t> </w:t>
      </w:r>
      <w:r>
        <w:rPr>
          <w:color w:val="231F20"/>
        </w:rPr>
        <w:t>sich</w:t>
      </w:r>
      <w:r>
        <w:rPr>
          <w:color w:val="231F20"/>
          <w:spacing w:val="28"/>
        </w:rPr>
        <w:t> </w:t>
      </w:r>
      <w:r>
        <w:rPr>
          <w:color w:val="231F20"/>
        </w:rPr>
        <w:t>Ruedi</w:t>
      </w:r>
      <w:r>
        <w:rPr>
          <w:color w:val="231F20"/>
          <w:spacing w:val="5"/>
        </w:rPr>
        <w:t> </w:t>
      </w:r>
      <w:r>
        <w:rPr>
          <w:color w:val="231F20"/>
        </w:rPr>
        <w:t>Meier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5"/>
        </w:rPr>
        <w:t> </w:t>
      </w:r>
      <w:r>
        <w:rPr>
          <w:color w:val="231F20"/>
        </w:rPr>
        <w:t>stark</w:t>
      </w:r>
      <w:r>
        <w:rPr>
          <w:color w:val="231F20"/>
          <w:spacing w:val="5"/>
        </w:rPr>
        <w:t> </w:t>
      </w:r>
      <w:r>
        <w:rPr>
          <w:color w:val="231F20"/>
        </w:rPr>
        <w:t>für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energieeffiziente</w:t>
      </w:r>
      <w:r>
        <w:rPr>
          <w:color w:val="231F20"/>
          <w:spacing w:val="34"/>
        </w:rPr>
        <w:t> </w:t>
      </w:r>
      <w:r>
        <w:rPr>
          <w:color w:val="231F20"/>
        </w:rPr>
        <w:t>Gebäude.</w:t>
      </w:r>
      <w:r>
        <w:rPr>
          <w:color w:val="231F20"/>
          <w:spacing w:val="8"/>
        </w:rPr>
        <w:t> </w:t>
      </w:r>
      <w:r>
        <w:rPr>
          <w:color w:val="231F20"/>
        </w:rPr>
        <w:t>Dabei</w:t>
      </w:r>
      <w:r>
        <w:rPr>
          <w:color w:val="231F20"/>
          <w:spacing w:val="19"/>
        </w:rPr>
        <w:t> </w:t>
      </w:r>
      <w:r>
        <w:rPr>
          <w:color w:val="231F20"/>
        </w:rPr>
        <w:t>legte</w:t>
      </w:r>
      <w:r>
        <w:rPr>
          <w:color w:val="231F20"/>
          <w:spacing w:val="19"/>
        </w:rPr>
        <w:t> </w:t>
      </w:r>
      <w:r>
        <w:rPr>
          <w:color w:val="231F20"/>
        </w:rPr>
        <w:t>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seinen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Fokus</w:t>
      </w:r>
      <w:r>
        <w:rPr>
          <w:color w:val="231F20"/>
          <w:spacing w:val="19"/>
        </w:rPr>
        <w:t> </w:t>
      </w:r>
      <w:r>
        <w:rPr>
          <w:color w:val="231F20"/>
        </w:rPr>
        <w:t>auf</w:t>
      </w:r>
      <w:r>
        <w:rPr>
          <w:color w:val="231F20"/>
          <w:spacing w:val="22"/>
        </w:rPr>
        <w:t> </w:t>
      </w:r>
      <w:r>
        <w:rPr>
          <w:color w:val="231F20"/>
        </w:rPr>
        <w:t>gebäudeintegrierte</w:t>
      </w:r>
      <w:r>
        <w:rPr>
          <w:color w:val="231F20"/>
          <w:spacing w:val="-9"/>
        </w:rPr>
        <w:t> </w:t>
      </w:r>
      <w:r>
        <w:rPr>
          <w:color w:val="231F20"/>
        </w:rPr>
        <w:t>Photovoltaik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30"/>
        </w:rPr>
        <w:t> </w:t>
      </w:r>
      <w:r>
        <w:rPr>
          <w:color w:val="231F20"/>
        </w:rPr>
        <w:t>Hoch-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leistungs-Wärmedämmungen.</w:t>
      </w:r>
      <w:r>
        <w:rPr>
          <w:color w:val="231F20"/>
          <w:spacing w:val="-20"/>
        </w:rPr>
        <w:t> </w:t>
      </w:r>
      <w:r>
        <w:rPr>
          <w:color w:val="231F20"/>
        </w:rPr>
        <w:t>Innovativ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klimawirksam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24"/>
        </w:rPr>
        <w:t> </w:t>
      </w:r>
      <w:r>
        <w:rPr>
          <w:color w:val="231F20"/>
        </w:rPr>
        <w:t>sich</w:t>
      </w:r>
      <w:r>
        <w:rPr>
          <w:color w:val="231F20"/>
          <w:spacing w:val="25"/>
        </w:rPr>
        <w:t> </w:t>
      </w:r>
      <w:r>
        <w:rPr>
          <w:color w:val="231F20"/>
        </w:rPr>
        <w:t>z.B.</w:t>
      </w:r>
      <w:r>
        <w:rPr>
          <w:color w:val="231F20"/>
          <w:spacing w:val="14"/>
        </w:rPr>
        <w:t> </w:t>
      </w:r>
      <w:r>
        <w:rPr>
          <w:color w:val="231F20"/>
        </w:rPr>
        <w:t>das</w:t>
      </w:r>
      <w:r>
        <w:rPr>
          <w:color w:val="231F20"/>
          <w:spacing w:val="10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EnWI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(Energetisch</w:t>
      </w:r>
      <w:r>
        <w:rPr>
          <w:color w:val="231F20"/>
          <w:spacing w:val="6"/>
        </w:rPr>
        <w:t> </w:t>
      </w:r>
      <w:r>
        <w:rPr>
          <w:color w:val="231F20"/>
        </w:rPr>
        <w:t>wirtschaftlich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Investie-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ren)</w:t>
      </w:r>
      <w:r>
        <w:rPr>
          <w:color w:val="231F20"/>
        </w:rPr>
        <w:t> </w:t>
      </w:r>
      <w:r>
        <w:rPr>
          <w:color w:val="231F20"/>
          <w:spacing w:val="-2"/>
        </w:rPr>
        <w:t>auswirken.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Noch</w:t>
      </w:r>
      <w:r>
        <w:rPr>
          <w:color w:val="231F20"/>
          <w:spacing w:val="37"/>
        </w:rPr>
        <w:t> </w:t>
      </w:r>
      <w:r>
        <w:rPr>
          <w:color w:val="231F20"/>
        </w:rPr>
        <w:t>heute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setzt</w:t>
      </w:r>
      <w:r>
        <w:rPr>
          <w:color w:val="231F20"/>
          <w:spacing w:val="37"/>
        </w:rPr>
        <w:t> </w:t>
      </w:r>
      <w:r>
        <w:rPr>
          <w:color w:val="231F20"/>
        </w:rPr>
        <w:t>sich</w:t>
      </w:r>
      <w:r>
        <w:rPr>
          <w:color w:val="231F20"/>
          <w:spacing w:val="38"/>
        </w:rPr>
        <w:t> </w:t>
      </w:r>
      <w:r>
        <w:rPr>
          <w:color w:val="231F20"/>
        </w:rPr>
        <w:t>der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mittlerweile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70-jährige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innovative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Unternehmer</w:t>
      </w:r>
      <w:r>
        <w:rPr>
          <w:color w:val="231F20"/>
          <w:spacing w:val="-4"/>
        </w:rPr>
        <w:t> </w:t>
      </w:r>
      <w:r>
        <w:rPr>
          <w:color w:val="231F20"/>
        </w:rPr>
        <w:t>stark</w:t>
      </w:r>
      <w:r>
        <w:rPr>
          <w:color w:val="231F20"/>
          <w:spacing w:val="-4"/>
        </w:rPr>
        <w:t> </w:t>
      </w:r>
      <w:r>
        <w:rPr>
          <w:color w:val="231F20"/>
        </w:rPr>
        <w:t>für</w:t>
      </w:r>
      <w:r>
        <w:rPr>
          <w:color w:val="231F20"/>
          <w:spacing w:val="57"/>
        </w:rPr>
        <w:t> </w:t>
      </w:r>
      <w:r>
        <w:rPr>
          <w:color w:val="231F20"/>
        </w:rPr>
        <w:t>die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Umwelt</w:t>
      </w:r>
      <w:r>
        <w:rPr>
          <w:color w:val="231F20"/>
          <w:spacing w:val="8"/>
        </w:rPr>
        <w:t> </w:t>
      </w:r>
      <w:r>
        <w:rPr>
          <w:color w:val="231F20"/>
        </w:rPr>
        <w:t>ein</w:t>
      </w:r>
      <w:r>
        <w:rPr>
          <w:color w:val="231F20"/>
          <w:spacing w:val="8"/>
        </w:rPr>
        <w:t> </w:t>
      </w:r>
      <w:r>
        <w:rPr>
          <w:color w:val="231F20"/>
        </w:rPr>
        <w:t>und</w:t>
      </w:r>
      <w:r>
        <w:rPr>
          <w:color w:val="231F20"/>
          <w:spacing w:val="8"/>
        </w:rPr>
        <w:t> </w:t>
      </w:r>
      <w:r>
        <w:rPr>
          <w:color w:val="231F20"/>
        </w:rPr>
        <w:t>arbeitet</w:t>
      </w:r>
      <w:r>
        <w:rPr>
          <w:color w:val="231F20"/>
          <w:spacing w:val="8"/>
        </w:rPr>
        <w:t> </w:t>
      </w:r>
      <w:r>
        <w:rPr>
          <w:color w:val="231F20"/>
        </w:rPr>
        <w:t>als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Berater,</w:t>
      </w:r>
      <w:r>
        <w:rPr>
          <w:color w:val="231F20"/>
          <w:spacing w:val="-3"/>
        </w:rPr>
        <w:t> </w:t>
      </w:r>
      <w:r>
        <w:rPr>
          <w:color w:val="231F20"/>
        </w:rPr>
        <w:t>In-</w:t>
      </w:r>
      <w:r>
        <w:rPr>
          <w:color w:val="231F20"/>
          <w:spacing w:val="25"/>
        </w:rPr>
        <w:t> </w:t>
      </w:r>
      <w:r>
        <w:rPr>
          <w:color w:val="231F20"/>
        </w:rPr>
        <w:t>vestor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Referent/Moderator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verschie-</w:t>
      </w:r>
      <w:r>
        <w:rPr>
          <w:color w:val="231F20"/>
          <w:spacing w:val="23"/>
        </w:rPr>
        <w:t> </w:t>
      </w:r>
      <w:r>
        <w:rPr>
          <w:color w:val="231F20"/>
        </w:rPr>
        <w:t>den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Veranstaltungen.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pacing w:val="2"/>
          <w:sz w:val="14"/>
        </w:rPr>
        <w:t> </w:t>
      </w:r>
      <w:r>
        <w:rPr>
          <w:rFonts w:ascii="Theinhardt Regular"/>
          <w:color w:val="231F20"/>
          <w:sz w:val="14"/>
        </w:rPr>
        <w:t>am 3. </w:t>
      </w:r>
      <w:r>
        <w:rPr>
          <w:rFonts w:ascii="Theinhardt Regular"/>
          <w:color w:val="231F20"/>
          <w:spacing w:val="1"/>
          <w:sz w:val="14"/>
        </w:rPr>
        <w:t>Juni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1949</w:t>
      </w:r>
      <w:r>
        <w:rPr>
          <w:rFonts w:ascii="Theinhardt Regular"/>
          <w:color w:val="231F20"/>
          <w:sz w:val="14"/>
        </w:rPr>
        <w:t> in </w:t>
      </w:r>
      <w:r>
        <w:rPr>
          <w:rFonts w:ascii="Theinhardt Regular"/>
          <w:color w:val="231F20"/>
          <w:spacing w:val="1"/>
          <w:sz w:val="14"/>
        </w:rPr>
        <w:t>Wettingen/AG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Dr.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oec.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publ./Raumplaner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ETH</w:t>
      </w:r>
      <w:r>
        <w:rPr>
          <w:rFonts w:ascii="Theinhardt Bold"/>
          <w:sz w:val="14"/>
        </w:rPr>
      </w:r>
    </w:p>
    <w:p>
      <w:pPr>
        <w:spacing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1970-74</w:t>
      </w:r>
      <w:r>
        <w:rPr>
          <w:rFonts w:ascii="Theinhardt Regular" w:hAnsi="Theinhardt Regular"/>
          <w:color w:val="231F20"/>
          <w:spacing w:val="-1"/>
          <w:sz w:val="14"/>
        </w:rPr>
        <w:t>: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Studium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Ökonomie,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Universität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560" w:right="622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1975</w:t>
      </w:r>
      <w:r>
        <w:rPr>
          <w:rFonts w:ascii="Theinhardt Regular" w:hAnsi="Theinhardt Regular"/>
          <w:color w:val="231F20"/>
          <w:spacing w:val="-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Nachdiplomstudium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Raumplanung,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ETH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60" w:right="438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1975</w:t>
      </w:r>
      <w:r>
        <w:rPr>
          <w:rFonts w:ascii="Theinhardt Regular"/>
          <w:color w:val="231F20"/>
          <w:spacing w:val="-1"/>
          <w:sz w:val="14"/>
        </w:rPr>
        <w:t>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2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Mitarbeit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Revision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Bundesverfassung,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HSG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St.Gallen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560" w:right="438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1980-1982</w:t>
      </w:r>
      <w:r>
        <w:rPr>
          <w:rFonts w:ascii="Theinhardt Regular" w:hAnsi="Theinhardt Regular"/>
          <w:color w:val="231F20"/>
          <w:sz w:val="14"/>
        </w:rPr>
        <w:t>: </w:t>
      </w:r>
      <w:r>
        <w:rPr>
          <w:rFonts w:ascii="Theinhardt Regular" w:hAnsi="Theinhardt Regular"/>
          <w:color w:val="231F20"/>
          <w:spacing w:val="2"/>
          <w:sz w:val="14"/>
        </w:rPr>
        <w:t>Sekretär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Regionalplanungsgruppe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Thal/SO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60" w:right="516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1982-1988</w:t>
      </w:r>
      <w:r>
        <w:rPr>
          <w:rFonts w:ascii="Theinhardt Regular" w:hAnsi="Theinhardt Regular"/>
          <w:color w:val="231F20"/>
          <w:sz w:val="14"/>
        </w:rPr>
        <w:t>: </w:t>
      </w:r>
      <w:r>
        <w:rPr>
          <w:rFonts w:ascii="Theinhardt Regular" w:hAnsi="Theinhardt Regular"/>
          <w:color w:val="231F20"/>
          <w:spacing w:val="2"/>
          <w:sz w:val="14"/>
        </w:rPr>
        <w:t>Volkswirtschafter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Pressechef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Schweizerische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Arbeitsgemeinschaft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Berggebiete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(SAB)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60" w:right="438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1988-2003</w:t>
      </w:r>
      <w:r>
        <w:rPr>
          <w:rFonts w:ascii="Theinhardt Regular"/>
          <w:color w:val="231F20"/>
          <w:spacing w:val="1"/>
          <w:sz w:val="14"/>
        </w:rPr>
        <w:t>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Volkswirtschaftlicher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Berater,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Bau-,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Verkehrs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Energiedirektion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(BVE),</w:t>
      </w:r>
      <w:r>
        <w:rPr>
          <w:rFonts w:ascii="Theinhardt Regular"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Kanton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Bern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560" w:right="438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1994-2002</w:t>
      </w:r>
      <w:r>
        <w:rPr>
          <w:rFonts w:ascii="Theinhardt Regular" w:hAnsi="Theinhardt Regular"/>
          <w:color w:val="231F20"/>
          <w:spacing w:val="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Dozent,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Universität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Bern: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Energie,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Verkehr, </w:t>
      </w:r>
      <w:r>
        <w:rPr>
          <w:rFonts w:ascii="Theinhardt Regular" w:hAnsi="Theinhardt Regular"/>
          <w:color w:val="231F20"/>
          <w:spacing w:val="1"/>
          <w:sz w:val="14"/>
        </w:rPr>
        <w:t>Regionalpolitik,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Raumordnung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60" w:right="999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2004-18</w:t>
      </w:r>
      <w:r>
        <w:rPr>
          <w:rFonts w:ascii="Theinhardt Regular" w:hAnsi="Theinhardt Regular"/>
          <w:color w:val="231F20"/>
          <w:sz w:val="14"/>
        </w:rPr>
        <w:t>: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Geschäftsleiter/Präsident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bei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energie-cluster.ch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60" w:right="188" w:hanging="454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Seit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2014: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Dozent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Umweltabgaben/Lenkungsab-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gaben/Ökologische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Steuerreform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nachhaltige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Energieversorgung</w:t>
      </w:r>
      <w:r>
        <w:rPr>
          <w:rFonts w:ascii="Theinhardt Regular" w:hAnsi="Theinhardt Regular"/>
          <w:color w:val="231F20"/>
          <w:sz w:val="14"/>
        </w:rPr>
        <w:t> an </w:t>
      </w:r>
      <w:r>
        <w:rPr>
          <w:rFonts w:ascii="Theinhardt Regular" w:hAnsi="Theinhardt Regular"/>
          <w:color w:val="231F20"/>
          <w:spacing w:val="2"/>
          <w:sz w:val="14"/>
        </w:rPr>
        <w:t>der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Privaten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Hochschule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Wirtschaft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PHW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6" w:right="18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Mitglied/Präsidium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1"/>
          <w:sz w:val="14"/>
        </w:rPr>
        <w:t>diversen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Kommissionen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pacing w:val="7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B</w:t>
      </w:r>
      <w:r>
        <w:rPr>
          <w:rFonts w:ascii="Theinhardt Regular" w:hAnsi="Theinhardt Regular"/>
          <w:color w:val="231F20"/>
          <w:spacing w:val="1"/>
          <w:sz w:val="14"/>
        </w:rPr>
        <w:t>u</w:t>
      </w:r>
      <w:r>
        <w:rPr>
          <w:rFonts w:ascii="Theinhardt Regular" w:hAnsi="Theinhardt Regular"/>
          <w:color w:val="231F20"/>
          <w:spacing w:val="2"/>
          <w:sz w:val="14"/>
        </w:rPr>
        <w:t>nd</w:t>
      </w:r>
      <w:r>
        <w:rPr>
          <w:rFonts w:ascii="Theinhardt Regular" w:hAnsi="Theinhardt Regular"/>
          <w:color w:val="231F20"/>
          <w:spacing w:val="4"/>
          <w:sz w:val="14"/>
        </w:rPr>
        <w:t>e</w:t>
      </w:r>
      <w:r>
        <w:rPr>
          <w:rFonts w:ascii="Theinhardt Regular" w:hAnsi="Theinhardt Regular"/>
          <w:color w:val="231F20"/>
          <w:sz w:val="14"/>
        </w:rPr>
        <w:t>s </w:t>
      </w:r>
      <w:r>
        <w:rPr>
          <w:rFonts w:ascii="Theinhardt Regular" w:hAnsi="Theinhardt Regular"/>
          <w:color w:val="231F20"/>
          <w:spacing w:val="1"/>
          <w:sz w:val="14"/>
        </w:rPr>
        <w:t>u</w:t>
      </w:r>
      <w:r>
        <w:rPr>
          <w:rFonts w:ascii="Theinhardt Regular" w:hAnsi="Theinhardt Regular"/>
          <w:color w:val="231F20"/>
          <w:spacing w:val="2"/>
          <w:sz w:val="14"/>
        </w:rPr>
        <w:t>n</w:t>
      </w:r>
      <w:r>
        <w:rPr>
          <w:rFonts w:ascii="Theinhardt Regular" w:hAnsi="Theinhardt Regular"/>
          <w:color w:val="231F20"/>
          <w:sz w:val="14"/>
        </w:rPr>
        <w:t>d </w:t>
      </w:r>
      <w:r>
        <w:rPr>
          <w:rFonts w:ascii="Theinhardt Regular" w:hAnsi="Theinhardt Regular"/>
          <w:color w:val="231F20"/>
          <w:spacing w:val="1"/>
          <w:sz w:val="14"/>
        </w:rPr>
        <w:t>v</w:t>
      </w:r>
      <w:r>
        <w:rPr>
          <w:rFonts w:ascii="Theinhardt Regular" w:hAnsi="Theinhardt Regular"/>
          <w:color w:val="231F20"/>
          <w:spacing w:val="2"/>
          <w:sz w:val="14"/>
        </w:rPr>
        <w:t>o</w:t>
      </w:r>
      <w:r>
        <w:rPr>
          <w:rFonts w:ascii="Theinhardt Regular" w:hAnsi="Theinhardt Regular"/>
          <w:color w:val="231F20"/>
          <w:sz w:val="14"/>
        </w:rPr>
        <w:t>n </w:t>
      </w:r>
      <w:r>
        <w:rPr>
          <w:rFonts w:ascii="Theinhardt Regular" w:hAnsi="Theinhardt Regular"/>
          <w:color w:val="231F20"/>
          <w:spacing w:val="3"/>
          <w:sz w:val="14"/>
        </w:rPr>
        <w:t>K</w:t>
      </w:r>
      <w:r>
        <w:rPr>
          <w:rFonts w:ascii="Theinhardt Regular" w:hAnsi="Theinhardt Regular"/>
          <w:color w:val="231F20"/>
          <w:spacing w:val="1"/>
          <w:sz w:val="14"/>
        </w:rPr>
        <w:t>a</w:t>
      </w:r>
      <w:r>
        <w:rPr>
          <w:rFonts w:ascii="Theinhardt Regular" w:hAnsi="Theinhardt Regular"/>
          <w:color w:val="231F20"/>
          <w:spacing w:val="3"/>
          <w:sz w:val="14"/>
        </w:rPr>
        <w:t>n</w:t>
      </w:r>
      <w:r>
        <w:rPr>
          <w:rFonts w:ascii="Theinhardt Regular" w:hAnsi="Theinhardt Regular"/>
          <w:color w:val="231F20"/>
          <w:spacing w:val="1"/>
          <w:sz w:val="14"/>
        </w:rPr>
        <w:t>t</w:t>
      </w:r>
      <w:r>
        <w:rPr>
          <w:rFonts w:ascii="Theinhardt Regular" w:hAnsi="Theinhardt Regular"/>
          <w:color w:val="231F20"/>
          <w:spacing w:val="2"/>
          <w:sz w:val="14"/>
        </w:rPr>
        <w:t>onen</w:t>
      </w:r>
      <w:r>
        <w:rPr>
          <w:rFonts w:ascii="Theinhardt Regular" w:hAnsi="Theinhardt Regular"/>
          <w:sz w:val="14"/>
        </w:rPr>
      </w:r>
    </w:p>
    <w:p>
      <w:pPr>
        <w:spacing w:line="281" w:lineRule="auto" w:before="49"/>
        <w:ind w:left="106" w:right="43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Betrieb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Kunst-Galerie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Muster-Meier,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Bern</w:t>
      </w:r>
      <w:r>
        <w:rPr>
          <w:rFonts w:ascii="Theinhardt Regular" w:hAnsi="Theinhardt Regular"/>
          <w:color w:val="231F20"/>
          <w:spacing w:val="2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Forschungs-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Beratungstätigkeiten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Wichtigste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Publikationen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(ca.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200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Publikationen)</w:t>
      </w:r>
      <w:r>
        <w:rPr>
          <w:rFonts w:ascii="Theinhardt Regular"/>
          <w:sz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160" w:lineRule="exact" w:before="28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Nachhaltiger</w:t>
      </w:r>
      <w:r>
        <w:rPr>
          <w:rFonts w:ascii="Theinhardt Bold" w:hAnsi="Theinhardt Bold"/>
          <w:b/>
          <w:color w:val="231F20"/>
          <w:spacing w:val="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Freizeitverkehr</w:t>
      </w:r>
      <w:r>
        <w:rPr>
          <w:rFonts w:ascii="Theinhardt Regular" w:hAnsi="Theinhardt Regular"/>
          <w:color w:val="231F20"/>
          <w:sz w:val="14"/>
        </w:rPr>
        <w:t>.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Zürich/Chur: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Rüegger-</w:t>
      </w:r>
      <w:r>
        <w:rPr>
          <w:rFonts w:ascii="Theinhardt Regular" w:hAnsi="Theinhardt Regular"/>
          <w:color w:val="231F20"/>
          <w:spacing w:val="5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Verlag,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2000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6" w:right="108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Sozioökonomische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Aspekte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Klimaänderungen</w:t>
      </w:r>
      <w:r>
        <w:rPr>
          <w:rFonts w:ascii="Theinhardt Bold" w:hAnsi="Theinhardt Bold" w:cs="Theinhardt Bold" w:eastAsia="Theinhardt Bold"/>
          <w:b/>
          <w:bCs/>
          <w:color w:val="231F20"/>
          <w:spacing w:val="4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Naturkatastrophen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.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Nationales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Forschungspro-</w:t>
      </w:r>
      <w:r>
        <w:rPr>
          <w:rFonts w:ascii="Theinhardt Regular" w:hAnsi="Theinhardt Regular" w:cs="Theinhardt Regular" w:eastAsia="Theinhardt Regular"/>
          <w:color w:val="231F20"/>
          <w:spacing w:val="5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gramm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"Klimaänderungen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Naturkatastrophen"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–</w:t>
      </w:r>
      <w:r>
        <w:rPr>
          <w:rFonts w:ascii="Theinhardt Regular" w:hAnsi="Theinhardt Regular" w:cs="Theinhardt Regular" w:eastAsia="Theinhardt Regular"/>
          <w:color w:val="231F20"/>
          <w:spacing w:val="4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NFP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31.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vdf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Hochschulverlag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an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ETH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Zürich.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Zürich</w:t>
      </w:r>
      <w:r>
        <w:rPr>
          <w:rFonts w:ascii="Theinhardt Regular" w:hAnsi="Theinhardt Regular" w:cs="Theinhardt Regular" w:eastAsia="Theinhardt Regular"/>
          <w:color w:val="231F20"/>
          <w:spacing w:val="5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1998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56"/>
        <w:ind w:left="106" w:right="108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Umweltgerechte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Verkehrsabgaben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–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Vorschläge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Neuorientierung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.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Zürich/Chur: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Rüegger-Verlag,</w:t>
      </w:r>
      <w:r>
        <w:rPr>
          <w:rFonts w:ascii="Theinhardt Regular" w:hAnsi="Theinhardt Regular" w:cs="Theinhardt Regular" w:eastAsia="Theinhardt Regular"/>
          <w:color w:val="231F20"/>
          <w:spacing w:val="5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1993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60" w:lineRule="exact" w:before="56"/>
        <w:ind w:left="106" w:right="108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Umweltabgaben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für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die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Schweiz.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Ein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Beitrag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zur</w:t>
      </w:r>
      <w:r>
        <w:rPr>
          <w:rFonts w:ascii="Theinhardt Bold" w:hAnsi="Theinhardt Bold"/>
          <w:b/>
          <w:color w:val="231F20"/>
          <w:spacing w:val="44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Ökologisierung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pacing w:val="2"/>
          <w:sz w:val="14"/>
        </w:rPr>
        <w:t> Wirtschaft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pacing w:val="2"/>
          <w:sz w:val="14"/>
        </w:rPr>
        <w:t> Gesellschaft</w:t>
      </w:r>
      <w:r>
        <w:rPr>
          <w:rFonts w:ascii="Theinhardt Regular" w:hAnsi="Theinhardt Regular"/>
          <w:color w:val="231F20"/>
          <w:spacing w:val="2"/>
          <w:sz w:val="14"/>
        </w:rPr>
        <w:t>.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Ruedi</w:t>
      </w:r>
      <w:r>
        <w:rPr>
          <w:rFonts w:ascii="Theinhardt Regular" w:hAnsi="Theinhardt Regular"/>
          <w:color w:val="231F20"/>
          <w:spacing w:val="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Meier</w:t>
      </w:r>
      <w:r>
        <w:rPr>
          <w:rFonts w:ascii="Theinhardt Regular" w:hAnsi="Theinhardt Regular"/>
          <w:color w:val="231F20"/>
          <w:spacing w:val="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zusammen</w:t>
      </w:r>
      <w:r>
        <w:rPr>
          <w:rFonts w:ascii="Theinhardt Regular" w:hAnsi="Theinhardt Regular"/>
          <w:color w:val="231F20"/>
          <w:spacing w:val="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pacing w:val="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Felix</w:t>
      </w:r>
      <w:r>
        <w:rPr>
          <w:rFonts w:ascii="Theinhardt Regular" w:hAnsi="Theinhardt Regular"/>
          <w:color w:val="231F20"/>
          <w:spacing w:val="8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Walter.</w:t>
      </w:r>
      <w:r>
        <w:rPr>
          <w:rFonts w:ascii="Theinhardt Regular" w:hAnsi="Theinhardt Regular"/>
          <w:color w:val="231F20"/>
          <w:spacing w:val="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Verlag</w:t>
      </w:r>
      <w:r>
        <w:rPr>
          <w:rFonts w:ascii="Theinhardt Regular" w:hAnsi="Theinhardt Regular"/>
          <w:color w:val="231F20"/>
          <w:spacing w:val="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Rüeg-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ger,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Chur/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1991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109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Dr.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Ruedi</w:t>
      </w:r>
      <w:r>
        <w:rPr>
          <w:rFonts w:ascii="Theinhardt Regular"/>
          <w:color w:val="231F20"/>
          <w:sz w:val="14"/>
        </w:rPr>
        <w:t> Meier,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06" w:right="43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8.38224pt;width:167.25pt;height:.45pt;mso-position-horizontal-relative:page;mso-position-vertical-relative:paragraph;z-index:1096" coordorigin="7710,368" coordsize="3345,9">
            <v:group style="position:absolute;left:7732;top:372;width:3311;height:2" coordorigin="7732,372" coordsize="3311,2">
              <v:shape style="position:absolute;left:7732;top:372;width:3311;height:2" coordorigin="7732,372" coordsize="3311,0" path="m7732,372l11042,372e" filled="false" stroked="true" strokeweight=".425pt" strokecolor="#231f20">
                <v:path arrowok="t"/>
                <v:stroke dashstyle="dash"/>
              </v:shape>
            </v:group>
            <v:group style="position:absolute;left:7714;top:372;width:2;height:2" coordorigin="7714,372" coordsize="2,2">
              <v:shape style="position:absolute;left:7714;top:372;width:2;height:2" coordorigin="7714,372" coordsize="0,0" path="m7714,372l7714,372e" filled="false" stroked="true" strokeweight=".425pt" strokecolor="#231f20">
                <v:path arrowok="t"/>
              </v:shape>
            </v:group>
            <v:group style="position:absolute;left:11051;top:372;width:2;height:2" coordorigin="11051,372" coordsize="2,2">
              <v:shape style="position:absolute;left:11051;top:372;width:2;height:2" coordorigin="11051,372" coordsize="0,0" path="m11051,372l11051,372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/>
          <w:color w:val="231F20"/>
          <w:spacing w:val="2"/>
          <w:sz w:val="14"/>
        </w:rPr>
        <w:t>Bürglenstrasse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3011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Bern/BE</w:t>
      </w:r>
      <w:hyperlink r:id="rId6">
        <w:r>
          <w:rPr>
            <w:rFonts w:ascii="Theinhardt Regular" w:hAnsi="Theinhardt Regular"/>
            <w:color w:val="231F20"/>
            <w:spacing w:val="3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ruedimeier@bluewin.ch,</w:t>
        </w:r>
      </w:hyperlink>
      <w:r>
        <w:rPr>
          <w:rFonts w:ascii="Theinhardt Regular" w:hAnsi="Theinhardt Regular"/>
          <w:color w:val="231F20"/>
          <w:sz w:val="14"/>
        </w:rPr>
        <w:t> </w:t>
      </w:r>
      <w:hyperlink r:id="rId7">
        <w:r>
          <w:rPr>
            <w:rFonts w:ascii="Theinhardt Regular" w:hAnsi="Theinhardt Regular"/>
            <w:color w:val="231F20"/>
            <w:spacing w:val="1"/>
            <w:sz w:val="14"/>
          </w:rPr>
          <w:t>www.ruedimeier.ch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12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uedimeier@bluewin.ch" TargetMode="External"/><Relationship Id="rId7" Type="http://schemas.openxmlformats.org/officeDocument/2006/relationships/hyperlink" Target="http://www.ruedimeier.ch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2019-10-03T15:11:55Z</dcterms:created>
  <dcterms:modified xsi:type="dcterms:W3CDTF">2019-10-03T15:11:55Z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2019-10-03T00:00:00Z</vt:filetime>
  </property>
</Properties>
</file>