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8008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68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1.</w:t>
      </w:r>
      <w:r>
        <w:rPr>
          <w:spacing w:val="-8"/>
        </w:rPr>
        <w:t> </w: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-Solarpreis</w:t>
      </w:r>
    </w:p>
    <w:p>
      <w:pPr>
        <w:pStyle w:val="Heading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Familie</w:t>
      </w:r>
      <w:r>
        <w:rPr>
          <w:spacing w:val="-7"/>
        </w:rPr>
        <w:t> </w:t>
      </w:r>
      <w:r>
        <w:rPr>
          <w:spacing w:val="-1"/>
        </w:rPr>
        <w:t>Rosmarie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14"/>
        </w:rPr>
        <w:t> </w:t>
      </w:r>
      <w:r>
        <w:rPr>
          <w:spacing w:val="-4"/>
        </w:rPr>
        <w:t>Tonin</w:t>
      </w:r>
      <w:r>
        <w:rPr>
          <w:spacing w:val="-7"/>
        </w:rPr>
        <w:t> </w:t>
      </w:r>
      <w:r>
        <w:rPr>
          <w:spacing w:val="-1"/>
        </w:rPr>
        <w:t>Casaulta</w:t>
      </w:r>
      <w:r>
        <w:rPr>
          <w:spacing w:val="-7"/>
        </w:rPr>
        <w:t> </w:t>
      </w:r>
      <w:r>
        <w:rPr>
          <w:spacing w:val="-1"/>
        </w:rPr>
        <w:t>nahm</w:t>
      </w:r>
      <w:r>
        <w:rPr>
          <w:spacing w:val="-7"/>
        </w:rPr>
        <w:t> </w:t>
      </w:r>
      <w:r>
        <w:rPr>
          <w:spacing w:val="-1"/>
        </w:rPr>
        <w:t>2013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Lumbrein/GR</w:t>
      </w:r>
      <w:r>
        <w:rPr>
          <w:spacing w:val="-7"/>
        </w:rPr>
        <w:t> </w:t>
      </w:r>
      <w:r>
        <w:rPr>
          <w:spacing w:val="-1"/>
        </w:rPr>
        <w:t>ihr</w:t>
      </w:r>
      <w:r>
        <w:rPr>
          <w:spacing w:val="-7"/>
        </w:rPr>
        <w:t> </w:t>
      </w:r>
      <w:r>
        <w:rPr>
          <w:spacing w:val="-1"/>
        </w:rPr>
        <w:t>Minergie-P-Einfamilien-</w:t>
      </w:r>
      <w:r>
        <w:rPr>
          <w:spacing w:val="49"/>
        </w:rPr>
        <w:t> </w:t>
      </w:r>
      <w:r>
        <w:rPr>
          <w:spacing w:val="-1"/>
        </w:rPr>
        <w:t>haus</w:t>
      </w:r>
      <w:r>
        <w:rPr>
          <w:spacing w:val="6"/>
        </w:rPr>
        <w:t> </w:t>
      </w:r>
      <w:r>
        <w:rPr>
          <w:spacing w:val="-1"/>
        </w:rPr>
        <w:t>(EFH)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Betrieb. Dank</w:t>
      </w:r>
      <w:r>
        <w:rPr>
          <w:spacing w:val="6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2"/>
        </w:rPr>
        <w:t>konsequenten</w:t>
      </w:r>
      <w:r>
        <w:rPr>
          <w:spacing w:val="6"/>
        </w:rPr>
        <w:t> </w:t>
      </w:r>
      <w:r>
        <w:rPr>
          <w:spacing w:val="-1"/>
        </w:rPr>
        <w:t>Wärmedämmung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1"/>
        </w:rPr>
        <w:t>effizienter</w:t>
      </w:r>
      <w:r>
        <w:rPr>
          <w:spacing w:val="7"/>
        </w:rPr>
        <w:t> </w:t>
      </w:r>
      <w:r>
        <w:rPr>
          <w:spacing w:val="-1"/>
        </w:rPr>
        <w:t>Haushaltsgerä-</w:t>
      </w:r>
      <w:r>
        <w:rPr>
          <w:spacing w:val="57"/>
        </w:rPr>
        <w:t> </w:t>
      </w:r>
      <w:r>
        <w:rPr>
          <w:spacing w:val="-1"/>
        </w:rPr>
        <w:t>te</w:t>
      </w:r>
      <w:r>
        <w:rPr>
          <w:spacing w:val="7"/>
        </w:rPr>
        <w:t> </w:t>
      </w:r>
      <w:r>
        <w:rPr>
          <w:spacing w:val="-1"/>
        </w:rPr>
        <w:t>beträgt</w:t>
      </w:r>
      <w:r>
        <w:rPr>
          <w:spacing w:val="7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1"/>
        </w:rPr>
        <w:t>Gesamtenergiebedarf</w:t>
      </w:r>
      <w:r>
        <w:rPr>
          <w:spacing w:val="7"/>
        </w:rPr>
        <w:t> </w:t>
      </w:r>
      <w:r>
        <w:rPr>
          <w:spacing w:val="-1"/>
        </w:rPr>
        <w:t>bloss</w:t>
      </w:r>
      <w:r>
        <w:rPr>
          <w:spacing w:val="7"/>
        </w:rPr>
        <w:t> </w:t>
      </w:r>
      <w:r>
        <w:rPr>
          <w:spacing w:val="-1"/>
        </w:rPr>
        <w:t>4’640</w:t>
      </w:r>
      <w:r>
        <w:rPr>
          <w:spacing w:val="7"/>
        </w:rPr>
        <w:t> </w:t>
      </w:r>
      <w:r>
        <w:rPr>
          <w:spacing w:val="-3"/>
        </w:rPr>
        <w:t>kWh/a.</w:t>
      </w:r>
      <w:r>
        <w:rPr/>
        <w:t> </w:t>
      </w:r>
      <w:r>
        <w:rPr>
          <w:spacing w:val="-1"/>
        </w:rPr>
        <w:t>Auf</w:t>
      </w:r>
      <w:r>
        <w:rPr>
          <w:spacing w:val="7"/>
        </w:rPr>
        <w:t> </w:t>
      </w:r>
      <w:r>
        <w:rPr>
          <w:spacing w:val="-1"/>
        </w:rPr>
        <w:t>dem</w:t>
      </w:r>
      <w:r>
        <w:rPr>
          <w:spacing w:val="7"/>
        </w:rPr>
        <w:t> </w:t>
      </w:r>
      <w:r>
        <w:rPr/>
        <w:t>Dach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der</w:t>
      </w:r>
      <w:r>
        <w:rPr>
          <w:spacing w:val="7"/>
        </w:rPr>
        <w:t> </w:t>
      </w:r>
      <w:r>
        <w:rPr>
          <w:spacing w:val="-1"/>
        </w:rPr>
        <w:t>Südfassade</w:t>
      </w:r>
      <w:r>
        <w:rPr>
          <w:spacing w:val="53"/>
        </w:rPr>
        <w:t> </w:t>
      </w:r>
      <w:r>
        <w:rPr>
          <w:spacing w:val="-2"/>
        </w:rPr>
        <w:t>produzieren</w:t>
      </w:r>
      <w:r>
        <w:rPr>
          <w:spacing w:val="2"/>
        </w:rPr>
        <w:t> </w:t>
      </w:r>
      <w:r>
        <w:rPr>
          <w:spacing w:val="-1"/>
        </w:rPr>
        <w:t>optimal</w:t>
      </w:r>
      <w:r>
        <w:rPr>
          <w:spacing w:val="2"/>
        </w:rPr>
        <w:t> </w:t>
      </w:r>
      <w:r>
        <w:rPr>
          <w:spacing w:val="-1"/>
        </w:rPr>
        <w:t>integrierte</w:t>
      </w:r>
      <w:r>
        <w:rPr>
          <w:spacing w:val="2"/>
        </w:rPr>
        <w:t> </w:t>
      </w:r>
      <w:r>
        <w:rPr>
          <w:spacing w:val="-1"/>
        </w:rPr>
        <w:t>10</w:t>
      </w:r>
      <w:r>
        <w:rPr>
          <w:spacing w:val="2"/>
        </w:rPr>
        <w:t> </w:t>
      </w:r>
      <w:r>
        <w:rPr>
          <w:spacing w:val="-1"/>
        </w:rPr>
        <w:t>kWp-PV-Anlagen</w:t>
      </w:r>
      <w:r>
        <w:rPr>
          <w:spacing w:val="2"/>
        </w:rPr>
        <w:t> </w:t>
      </w:r>
      <w:r>
        <w:rPr>
          <w:spacing w:val="-1"/>
        </w:rPr>
        <w:t>insgesamt</w:t>
      </w:r>
      <w:r>
        <w:rPr>
          <w:spacing w:val="2"/>
        </w:rPr>
        <w:t> </w:t>
      </w:r>
      <w:r>
        <w:rPr>
          <w:spacing w:val="-1"/>
        </w:rPr>
        <w:t>10’900</w:t>
      </w:r>
      <w:r>
        <w:rPr>
          <w:spacing w:val="2"/>
        </w:rPr>
        <w:t> </w:t>
      </w:r>
      <w:r>
        <w:rPr>
          <w:spacing w:val="-1"/>
        </w:rPr>
        <w:t>kWh</w:t>
      </w:r>
      <w:r>
        <w:rPr>
          <w:spacing w:val="2"/>
        </w:rPr>
        <w:t> </w:t>
      </w:r>
      <w:r>
        <w:rPr>
          <w:spacing w:val="-1"/>
        </w:rPr>
        <w:t>Strom</w:t>
      </w:r>
      <w:r>
        <w:rPr>
          <w:spacing w:val="2"/>
        </w:rPr>
        <w:t> </w:t>
      </w:r>
      <w:r>
        <w:rPr>
          <w:spacing w:val="-1"/>
        </w:rPr>
        <w:t>pro</w:t>
      </w:r>
      <w:r>
        <w:rPr>
          <w:spacing w:val="2"/>
        </w:rPr>
        <w:t> </w:t>
      </w:r>
      <w:r>
        <w:rPr>
          <w:spacing w:val="-4"/>
        </w:rPr>
        <w:t>Jahr.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63"/>
        </w:rPr>
        <w:t> </w:t>
      </w:r>
      <w:r>
        <w:rPr>
          <w:spacing w:val="-1"/>
        </w:rPr>
        <w:t>solarbetriebene</w:t>
      </w:r>
      <w:r>
        <w:rPr>
          <w:spacing w:val="18"/>
        </w:rPr>
        <w:t> </w:t>
      </w:r>
      <w:r>
        <w:rPr>
          <w:spacing w:val="-1"/>
        </w:rPr>
        <w:t>Wärmepumpe</w:t>
      </w:r>
      <w:r>
        <w:rPr>
          <w:spacing w:val="18"/>
        </w:rPr>
        <w:t> </w:t>
      </w:r>
      <w:r>
        <w:rPr>
          <w:spacing w:val="-1"/>
        </w:rPr>
        <w:t>sorgt</w:t>
      </w:r>
      <w:r>
        <w:rPr>
          <w:spacing w:val="18"/>
        </w:rPr>
        <w:t> </w:t>
      </w:r>
      <w:r>
        <w:rPr>
          <w:spacing w:val="-1"/>
        </w:rPr>
        <w:t>für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1"/>
        </w:rPr>
        <w:t>benötigte</w:t>
      </w:r>
      <w:r>
        <w:rPr>
          <w:spacing w:val="18"/>
        </w:rPr>
        <w:t> </w:t>
      </w:r>
      <w:r>
        <w:rPr>
          <w:spacing w:val="-1"/>
        </w:rPr>
        <w:t>Wärme.</w:t>
      </w:r>
      <w:r>
        <w:rPr>
          <w:spacing w:val="11"/>
        </w:rPr>
        <w:t> </w:t>
      </w:r>
      <w:r>
        <w:rPr/>
        <w:t>Mit</w:t>
      </w:r>
      <w:r>
        <w:rPr>
          <w:spacing w:val="18"/>
        </w:rPr>
        <w:t> </w:t>
      </w:r>
      <w:r>
        <w:rPr>
          <w:spacing w:val="-1"/>
        </w:rPr>
        <w:t>dem</w:t>
      </w:r>
      <w:r>
        <w:rPr>
          <w:spacing w:val="18"/>
        </w:rPr>
        <w:t> </w:t>
      </w:r>
      <w:r>
        <w:rPr>
          <w:spacing w:val="-1"/>
        </w:rPr>
        <w:t>jährlichen</w:t>
      </w:r>
      <w:r>
        <w:rPr>
          <w:spacing w:val="18"/>
        </w:rPr>
        <w:t> </w:t>
      </w:r>
      <w:r>
        <w:rPr>
          <w:spacing w:val="-1"/>
        </w:rPr>
        <w:t>Solarstrom-</w:t>
      </w:r>
      <w:r>
        <w:rPr>
          <w:spacing w:val="39"/>
        </w:rPr>
        <w:t> </w:t>
      </w:r>
      <w:r>
        <w:rPr>
          <w:spacing w:val="-1"/>
        </w:rPr>
        <w:t>überschuss</w:t>
      </w:r>
      <w:r>
        <w:rPr>
          <w:spacing w:val="-9"/>
        </w:rPr>
        <w:t> </w:t>
      </w:r>
      <w:r>
        <w:rPr>
          <w:spacing w:val="-1"/>
        </w:rPr>
        <w:t>von</w:t>
      </w:r>
      <w:r>
        <w:rPr>
          <w:spacing w:val="-9"/>
        </w:rPr>
        <w:t> </w:t>
      </w:r>
      <w:r>
        <w:rPr>
          <w:spacing w:val="-1"/>
        </w:rPr>
        <w:t>6’280</w:t>
      </w:r>
      <w:r>
        <w:rPr>
          <w:spacing w:val="-9"/>
        </w:rPr>
        <w:t> </w:t>
      </w:r>
      <w:r>
        <w:rPr>
          <w:spacing w:val="-1"/>
        </w:rPr>
        <w:t>kWh</w:t>
      </w:r>
      <w:r>
        <w:rPr>
          <w:spacing w:val="-9"/>
        </w:rPr>
        <w:t> </w:t>
      </w:r>
      <w:r>
        <w:rPr>
          <w:spacing w:val="-1"/>
        </w:rPr>
        <w:t>für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2"/>
        </w:rPr>
        <w:t>öffentliche</w:t>
      </w:r>
      <w:r>
        <w:rPr>
          <w:spacing w:val="-9"/>
        </w:rPr>
        <w:t> </w:t>
      </w:r>
      <w:r>
        <w:rPr/>
        <w:t>Netz</w:t>
      </w:r>
      <w:r>
        <w:rPr>
          <w:spacing w:val="-9"/>
        </w:rPr>
        <w:t> </w:t>
      </w:r>
      <w:r>
        <w:rPr>
          <w:spacing w:val="-1"/>
        </w:rPr>
        <w:t>erbringt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Einfamilienhaus</w:t>
      </w:r>
      <w:r>
        <w:rPr>
          <w:spacing w:val="-9"/>
        </w:rPr>
        <w:t> </w:t>
      </w:r>
      <w:r>
        <w:rPr>
          <w:spacing w:val="-1"/>
        </w:rPr>
        <w:t>eine</w:t>
      </w:r>
      <w:r>
        <w:rPr>
          <w:spacing w:val="-9"/>
        </w:rPr>
        <w:t> </w:t>
      </w:r>
      <w:r>
        <w:rPr>
          <w:spacing w:val="-1"/>
        </w:rPr>
        <w:t>Eigenener-</w:t>
      </w:r>
      <w:r>
        <w:rPr>
          <w:spacing w:val="73"/>
        </w:rPr>
        <w:t> </w:t>
      </w:r>
      <w:r>
        <w:rPr>
          <w:spacing w:val="-2"/>
        </w:rPr>
        <w:t>gieversorgung </w:t>
      </w:r>
      <w:r>
        <w:rPr>
          <w:spacing w:val="-1"/>
        </w:rPr>
        <w:t>von</w:t>
      </w:r>
      <w:r>
        <w:rPr>
          <w:spacing w:val="-2"/>
        </w:rPr>
        <w:t> </w:t>
      </w:r>
      <w:r>
        <w:rPr>
          <w:spacing w:val="-1"/>
        </w:rPr>
        <w:t>235%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erweist</w:t>
      </w:r>
      <w:r>
        <w:rPr>
          <w:spacing w:val="-2"/>
        </w:rPr>
        <w:t> </w:t>
      </w:r>
      <w:r>
        <w:rPr>
          <w:spacing w:val="-1"/>
        </w:rPr>
        <w:t>sich</w:t>
      </w:r>
      <w:r>
        <w:rPr>
          <w:spacing w:val="-2"/>
        </w:rPr>
        <w:t> </w:t>
      </w:r>
      <w:r>
        <w:rPr>
          <w:spacing w:val="-1"/>
        </w:rPr>
        <w:t>als</w:t>
      </w:r>
      <w:r>
        <w:rPr>
          <w:spacing w:val="-2"/>
        </w:rPr>
        <w:t> </w:t>
      </w:r>
      <w:r>
        <w:rPr>
          <w:spacing w:val="-1"/>
        </w:rPr>
        <w:t>PlusEnergieBau</w:t>
      </w:r>
      <w:r>
        <w:rPr>
          <w:spacing w:val="-2"/>
        </w:rPr>
        <w:t> </w:t>
      </w:r>
      <w:r>
        <w:rPr>
          <w:spacing w:val="-1"/>
        </w:rPr>
        <w:t>(PEB)</w:t>
      </w:r>
      <w:r>
        <w:rPr>
          <w:spacing w:val="-2"/>
        </w:rPr>
        <w:t> </w:t>
      </w:r>
      <w:r>
        <w:rPr>
          <w:spacing w:val="-1"/>
        </w:rPr>
        <w:t>mit</w:t>
      </w:r>
      <w:r>
        <w:rPr>
          <w:spacing w:val="-9"/>
        </w:rPr>
        <w:t> </w:t>
      </w:r>
      <w:r>
        <w:rPr>
          <w:spacing w:val="-3"/>
        </w:rPr>
        <w:t>Vorbildcharakter.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235%-PEB-EFH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5"/>
          <w:sz w:val="40"/>
        </w:rPr>
        <w:t>Casaulta,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7148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Lumbrein/GR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spacing w:val="-1"/>
        </w:rPr>
        <w:t>Die</w:t>
      </w:r>
      <w:r>
        <w:rPr>
          <w:spacing w:val="6"/>
        </w:rPr>
        <w:t> </w:t>
      </w:r>
      <w:r>
        <w:rPr/>
        <w:t>Gemeinde</w:t>
      </w:r>
      <w:r>
        <w:rPr>
          <w:spacing w:val="6"/>
        </w:rPr>
        <w:t> </w:t>
      </w:r>
      <w:r>
        <w:rPr>
          <w:spacing w:val="-2"/>
        </w:rPr>
        <w:t>Lumbrein</w:t>
      </w:r>
      <w:r>
        <w:rPr>
          <w:spacing w:val="6"/>
        </w:rPr>
        <w:t> </w:t>
      </w:r>
      <w:r>
        <w:rPr/>
        <w:t>liegt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der</w:t>
      </w:r>
      <w:r>
        <w:rPr>
          <w:spacing w:val="43"/>
        </w:rPr>
        <w:t> </w:t>
      </w:r>
      <w:r>
        <w:rPr>
          <w:spacing w:val="-2"/>
        </w:rPr>
        <w:t>Val</w:t>
      </w:r>
      <w:r>
        <w:rPr>
          <w:spacing w:val="30"/>
        </w:rPr>
        <w:t> </w:t>
      </w:r>
      <w:r>
        <w:rPr>
          <w:spacing w:val="-1"/>
        </w:rPr>
        <w:t>Lumnezia,</w:t>
      </w:r>
      <w:r>
        <w:rPr>
          <w:spacing w:val="42"/>
        </w:rPr>
        <w:t> </w:t>
      </w:r>
      <w:r>
        <w:rPr/>
        <w:t>auch</w:t>
      </w:r>
      <w:r>
        <w:rPr>
          <w:spacing w:val="39"/>
        </w:rPr>
        <w:t> </w:t>
      </w:r>
      <w:r>
        <w:rPr>
          <w:spacing w:val="-3"/>
        </w:rPr>
        <w:t>’Tal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1"/>
        </w:rPr>
        <w:t>Lichts’</w:t>
      </w:r>
      <w:r>
        <w:rPr>
          <w:spacing w:val="38"/>
        </w:rPr>
        <w:t> </w:t>
      </w:r>
      <w:r>
        <w:rPr/>
        <w:t>genannt.</w:t>
      </w:r>
      <w:r>
        <w:rPr>
          <w:spacing w:val="27"/>
        </w:rPr>
        <w:t> </w:t>
      </w:r>
      <w:r>
        <w:rPr>
          <w:spacing w:val="-1"/>
        </w:rPr>
        <w:t>Aufgrund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>
          <w:spacing w:val="-1"/>
        </w:rPr>
        <w:t>ausserordentlich</w:t>
      </w:r>
      <w:r>
        <w:rPr>
          <w:spacing w:val="41"/>
        </w:rPr>
        <w:t> </w:t>
      </w:r>
      <w:r>
        <w:rPr/>
        <w:t>hohen</w:t>
      </w:r>
      <w:r>
        <w:rPr>
          <w:spacing w:val="42"/>
        </w:rPr>
        <w:t> </w:t>
      </w:r>
      <w:r>
        <w:rPr/>
        <w:t>An-</w:t>
      </w:r>
      <w:r>
        <w:rPr>
          <w:spacing w:val="29"/>
        </w:rPr>
        <w:t> </w:t>
      </w:r>
      <w:r>
        <w:rPr/>
        <w:t>zahl</w:t>
      </w:r>
      <w:r>
        <w:rPr>
          <w:spacing w:val="2"/>
        </w:rPr>
        <w:t> </w:t>
      </w:r>
      <w:r>
        <w:rPr/>
        <w:t>Sonnenstunden</w:t>
      </w:r>
      <w:r>
        <w:rPr>
          <w:spacing w:val="2"/>
        </w:rPr>
        <w:t> </w:t>
      </w:r>
      <w:r>
        <w:rPr/>
        <w:t>eignet</w:t>
      </w:r>
      <w:r>
        <w:rPr>
          <w:spacing w:val="2"/>
        </w:rPr>
        <w:t> </w:t>
      </w:r>
      <w:r>
        <w:rPr/>
        <w:t>sich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Region</w:t>
      </w:r>
      <w:r>
        <w:rPr>
          <w:spacing w:val="21"/>
        </w:rPr>
        <w:t> </w:t>
      </w:r>
      <w:r>
        <w:rPr>
          <w:spacing w:val="-1"/>
        </w:rPr>
        <w:t>besonders</w:t>
      </w:r>
      <w:r>
        <w:rPr>
          <w:spacing w:val="9"/>
        </w:rPr>
        <w:t> </w:t>
      </w:r>
      <w:r>
        <w:rPr/>
        <w:t>für</w:t>
      </w:r>
      <w:r>
        <w:rPr>
          <w:spacing w:val="9"/>
        </w:rPr>
        <w:t> </w:t>
      </w:r>
      <w:r>
        <w:rPr>
          <w:spacing w:val="-1"/>
        </w:rPr>
        <w:t>Solarenergie.</w:t>
      </w:r>
      <w:r>
        <w:rPr>
          <w:spacing w:val="-2"/>
        </w:rPr>
        <w:t> </w:t>
      </w:r>
      <w:r>
        <w:rPr/>
        <w:t>Mit</w:t>
      </w:r>
      <w:r>
        <w:rPr>
          <w:spacing w:val="9"/>
        </w:rPr>
        <w:t> </w:t>
      </w:r>
      <w:r>
        <w:rPr/>
        <w:t>2.4</w:t>
      </w:r>
      <w:r>
        <w:rPr>
          <w:spacing w:val="9"/>
        </w:rPr>
        <w:t> </w:t>
      </w:r>
      <w:r>
        <w:rPr>
          <w:spacing w:val="-3"/>
        </w:rPr>
        <w:t>kWp</w:t>
      </w:r>
      <w:r>
        <w:rPr>
          <w:spacing w:val="9"/>
        </w:rPr>
        <w:t> </w:t>
      </w:r>
      <w:r>
        <w:rPr/>
        <w:t>in</w:t>
      </w:r>
      <w:r>
        <w:rPr>
          <w:spacing w:val="21"/>
        </w:rPr>
        <w:t> </w:t>
      </w:r>
      <w:r>
        <w:rPr/>
        <w:t>der</w:t>
      </w:r>
      <w:r>
        <w:rPr>
          <w:spacing w:val="2"/>
        </w:rPr>
        <w:t> </w:t>
      </w:r>
      <w:r>
        <w:rPr/>
        <w:t>Südfassade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7.5</w:t>
      </w:r>
      <w:r>
        <w:rPr>
          <w:spacing w:val="2"/>
        </w:rPr>
        <w:t> </w:t>
      </w:r>
      <w:r>
        <w:rPr>
          <w:spacing w:val="-3"/>
        </w:rPr>
        <w:t>kWp</w:t>
      </w:r>
      <w:r>
        <w:rPr>
          <w:spacing w:val="2"/>
        </w:rPr>
        <w:t> </w:t>
      </w:r>
      <w:r>
        <w:rPr/>
        <w:t>monokristalli-</w:t>
      </w:r>
      <w:r>
        <w:rPr>
          <w:spacing w:val="26"/>
        </w:rPr>
        <w:t> </w:t>
      </w:r>
      <w:r>
        <w:rPr/>
        <w:t>nen</w:t>
      </w:r>
      <w:r>
        <w:rPr>
          <w:spacing w:val="-2"/>
        </w:rPr>
        <w:t> </w:t>
      </w:r>
      <w:r>
        <w:rPr/>
        <w:t>Solarzellen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dem</w:t>
      </w:r>
      <w:r>
        <w:rPr>
          <w:spacing w:val="-2"/>
        </w:rPr>
        <w:t> </w:t>
      </w:r>
      <w:r>
        <w:rPr>
          <w:spacing w:val="-1"/>
        </w:rPr>
        <w:t>Süddach</w:t>
      </w:r>
      <w:r>
        <w:rPr>
          <w:spacing w:val="-2"/>
        </w:rPr>
        <w:t> </w:t>
      </w:r>
      <w:r>
        <w:rPr/>
        <w:t>erzeugen</w:t>
      </w:r>
      <w:r>
        <w:rPr>
          <w:spacing w:val="27"/>
        </w:rPr>
        <w:t> </w:t>
      </w:r>
      <w:r>
        <w:rPr/>
        <w:t>die</w:t>
      </w:r>
      <w:r>
        <w:rPr>
          <w:spacing w:val="19"/>
        </w:rPr>
        <w:t> </w:t>
      </w:r>
      <w:r>
        <w:rPr>
          <w:spacing w:val="-2"/>
        </w:rPr>
        <w:t>PV-Anlagen</w:t>
      </w:r>
      <w:r>
        <w:rPr>
          <w:spacing w:val="19"/>
        </w:rPr>
        <w:t> </w:t>
      </w:r>
      <w:r>
        <w:rPr/>
        <w:t>jährlich</w:t>
      </w:r>
      <w:r>
        <w:rPr>
          <w:spacing w:val="19"/>
        </w:rPr>
        <w:t> </w:t>
      </w:r>
      <w:r>
        <w:rPr>
          <w:spacing w:val="-1"/>
        </w:rPr>
        <w:t>überdurchschnittli-</w:t>
      </w:r>
      <w:r>
        <w:rPr>
          <w:spacing w:val="41"/>
        </w:rPr>
        <w:t> </w:t>
      </w:r>
      <w:r>
        <w:rPr/>
        <w:t>che</w:t>
      </w:r>
      <w:r>
        <w:rPr>
          <w:spacing w:val="28"/>
        </w:rPr>
        <w:t> </w:t>
      </w:r>
      <w:r>
        <w:rPr/>
        <w:t>1’104</w:t>
      </w:r>
      <w:r>
        <w:rPr>
          <w:spacing w:val="29"/>
        </w:rPr>
        <w:t> </w:t>
      </w:r>
      <w:r>
        <w:rPr>
          <w:spacing w:val="1"/>
        </w:rPr>
        <w:t>kWh/kWp</w:t>
      </w:r>
      <w:r>
        <w:rPr>
          <w:spacing w:val="28"/>
        </w:rPr>
        <w:t> </w:t>
      </w:r>
      <w:r>
        <w:rPr>
          <w:spacing w:val="-1"/>
        </w:rPr>
        <w:t>Strom.</w:t>
      </w:r>
      <w:r>
        <w:rPr>
          <w:spacing w:val="18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1"/>
        </w:rPr>
        <w:t>gesamte</w:t>
      </w:r>
      <w:r>
        <w:rPr>
          <w:spacing w:val="29"/>
        </w:rPr>
        <w:t> </w:t>
      </w:r>
      <w:r>
        <w:rPr>
          <w:spacing w:val="-2"/>
        </w:rPr>
        <w:t>solare</w:t>
      </w:r>
      <w:r>
        <w:rPr>
          <w:spacing w:val="23"/>
        </w:rPr>
        <w:t> </w:t>
      </w:r>
      <w:r>
        <w:rPr>
          <w:spacing w:val="-1"/>
        </w:rPr>
        <w:t>Energieertrag</w:t>
      </w:r>
      <w:r>
        <w:rPr>
          <w:spacing w:val="23"/>
        </w:rPr>
        <w:t> </w:t>
      </w:r>
      <w:r>
        <w:rPr/>
        <w:t>von</w:t>
      </w:r>
      <w:r>
        <w:rPr>
          <w:spacing w:val="23"/>
        </w:rPr>
        <w:t> </w:t>
      </w:r>
      <w:r>
        <w:rPr/>
        <w:t>10’900</w:t>
      </w:r>
      <w:r>
        <w:rPr>
          <w:spacing w:val="23"/>
        </w:rPr>
        <w:t> </w:t>
      </w:r>
      <w:r>
        <w:rPr>
          <w:spacing w:val="-2"/>
        </w:rPr>
        <w:t>kWh/a</w:t>
      </w:r>
      <w:r>
        <w:rPr>
          <w:spacing w:val="27"/>
        </w:rPr>
        <w:t> </w:t>
      </w:r>
      <w:r>
        <w:rPr>
          <w:spacing w:val="-1"/>
        </w:rPr>
        <w:t>reicht</w:t>
      </w:r>
      <w:r>
        <w:rPr>
          <w:spacing w:val="4"/>
        </w:rPr>
        <w:t> </w:t>
      </w:r>
      <w:r>
        <w:rPr>
          <w:spacing w:val="-1"/>
        </w:rPr>
        <w:t>sogar</w:t>
      </w:r>
      <w:r>
        <w:rPr>
          <w:spacing w:val="4"/>
        </w:rPr>
        <w:t> </w:t>
      </w:r>
      <w:r>
        <w:rPr/>
        <w:t>aus,</w:t>
      </w:r>
      <w:r>
        <w:rPr>
          <w:spacing w:val="-7"/>
        </w:rPr>
        <w:t> </w:t>
      </w:r>
      <w:r>
        <w:rPr/>
        <w:t>um</w:t>
      </w:r>
      <w:r>
        <w:rPr>
          <w:spacing w:val="4"/>
        </w:rPr>
        <w:t> </w:t>
      </w:r>
      <w:r>
        <w:rPr/>
        <w:t>noch</w:t>
      </w:r>
      <w:r>
        <w:rPr>
          <w:spacing w:val="4"/>
        </w:rPr>
        <w:t> </w:t>
      </w:r>
      <w:r>
        <w:rPr/>
        <w:t>ein</w:t>
      </w:r>
      <w:r>
        <w:rPr>
          <w:spacing w:val="4"/>
        </w:rPr>
        <w:t> </w:t>
      </w:r>
      <w:r>
        <w:rPr>
          <w:spacing w:val="-1"/>
        </w:rPr>
        <w:t>weiteres</w:t>
      </w:r>
      <w:r>
        <w:rPr>
          <w:spacing w:val="4"/>
        </w:rPr>
        <w:t> </w:t>
      </w:r>
      <w:r>
        <w:rPr/>
        <w:t>Ein-</w:t>
      </w:r>
      <w:r>
        <w:rPr>
          <w:spacing w:val="26"/>
        </w:rPr>
        <w:t> </w:t>
      </w:r>
      <w:r>
        <w:rPr/>
        <w:t>familienhaus</w:t>
      </w:r>
      <w:r>
        <w:rPr>
          <w:spacing w:val="-5"/>
        </w:rPr>
        <w:t> </w:t>
      </w:r>
      <w:r>
        <w:rPr>
          <w:spacing w:val="-1"/>
        </w:rPr>
        <w:t>energetisch</w:t>
      </w:r>
      <w:r>
        <w:rPr>
          <w:spacing w:val="-5"/>
        </w:rPr>
        <w:t> </w:t>
      </w:r>
      <w:r>
        <w:rPr/>
        <w:t>vollständig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ver-</w:t>
      </w:r>
      <w:r>
        <w:rPr>
          <w:spacing w:val="26"/>
        </w:rPr>
        <w:t> </w:t>
      </w:r>
      <w:r>
        <w:rPr>
          <w:spacing w:val="-2"/>
        </w:rPr>
        <w:t>sorgen.</w:t>
      </w:r>
    </w:p>
    <w:p>
      <w:pPr>
        <w:pStyle w:val="BodyText"/>
        <w:spacing w:line="232" w:lineRule="auto" w:before="15"/>
        <w:ind w:right="0"/>
        <w:jc w:val="both"/>
      </w:pPr>
      <w:r>
        <w:rPr/>
        <w:t>Eine</w:t>
      </w:r>
      <w:r>
        <w:rPr>
          <w:spacing w:val="-2"/>
        </w:rPr>
        <w:t> </w:t>
      </w:r>
      <w:r>
        <w:rPr>
          <w:spacing w:val="-1"/>
        </w:rPr>
        <w:t>solarbetriebene</w:t>
      </w:r>
      <w:r>
        <w:rPr>
          <w:spacing w:val="-2"/>
        </w:rPr>
        <w:t> </w:t>
      </w:r>
      <w:r>
        <w:rPr>
          <w:spacing w:val="-1"/>
        </w:rPr>
        <w:t>Wärmepumpe</w:t>
      </w:r>
      <w:r>
        <w:rPr>
          <w:spacing w:val="-2"/>
        </w:rPr>
        <w:t> </w:t>
      </w:r>
      <w:r>
        <w:rPr>
          <w:spacing w:val="-1"/>
        </w:rPr>
        <w:t>(WP)</w:t>
      </w:r>
      <w:r>
        <w:rPr>
          <w:spacing w:val="33"/>
        </w:rPr>
        <w:t> </w:t>
      </w:r>
      <w:r>
        <w:rPr/>
        <w:t>sichert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2"/>
        </w:rPr>
        <w:t>Wärmeversorgung.</w:t>
      </w:r>
      <w:r>
        <w:rPr>
          <w:spacing w:val="-20"/>
        </w:rPr>
        <w:t> </w:t>
      </w:r>
      <w:r>
        <w:rPr/>
        <w:t>Dazu</w:t>
      </w:r>
      <w:r>
        <w:rPr>
          <w:spacing w:val="-9"/>
        </w:rPr>
        <w:t> </w:t>
      </w:r>
      <w:r>
        <w:rPr>
          <w:spacing w:val="-2"/>
        </w:rPr>
        <w:t>wird</w:t>
      </w:r>
      <w:r>
        <w:rPr>
          <w:spacing w:val="-9"/>
        </w:rPr>
        <w:t> </w:t>
      </w:r>
      <w:r>
        <w:rPr/>
        <w:t>die</w:t>
      </w:r>
      <w:r>
        <w:rPr>
          <w:spacing w:val="48"/>
        </w:rPr>
        <w:t> </w:t>
      </w:r>
      <w:r>
        <w:rPr/>
        <w:t>Restwärme</w:t>
      </w:r>
      <w:r>
        <w:rPr>
          <w:spacing w:val="9"/>
        </w:rPr>
        <w:t> </w:t>
      </w:r>
      <w:r>
        <w:rPr/>
        <w:t>der</w:t>
      </w:r>
      <w:r>
        <w:rPr>
          <w:spacing w:val="9"/>
        </w:rPr>
        <w:t> </w:t>
      </w:r>
      <w:r>
        <w:rPr/>
        <w:t>Lüftungsabluft</w:t>
      </w:r>
      <w:r>
        <w:rPr>
          <w:spacing w:val="9"/>
        </w:rPr>
        <w:t> </w:t>
      </w:r>
      <w:r>
        <w:rPr>
          <w:spacing w:val="1"/>
        </w:rPr>
        <w:t>genutzt</w:t>
      </w:r>
      <w:r>
        <w:rPr>
          <w:spacing w:val="9"/>
        </w:rPr>
        <w:t> </w:t>
      </w:r>
      <w:r>
        <w:rPr/>
        <w:t>und</w:t>
      </w:r>
      <w:r>
        <w:rPr>
          <w:spacing w:val="21"/>
        </w:rPr>
        <w:t> </w:t>
      </w:r>
      <w:r>
        <w:rPr/>
        <w:t>ins</w:t>
      </w:r>
      <w:r>
        <w:rPr>
          <w:spacing w:val="2"/>
        </w:rPr>
        <w:t> </w:t>
      </w:r>
      <w:r>
        <w:rPr>
          <w:spacing w:val="-2"/>
        </w:rPr>
        <w:t>Erdreich</w:t>
      </w:r>
      <w:r>
        <w:rPr>
          <w:spacing w:val="2"/>
        </w:rPr>
        <w:t> </w:t>
      </w:r>
      <w:r>
        <w:rPr>
          <w:spacing w:val="-1"/>
        </w:rPr>
        <w:t>zurückgespeist,</w:t>
      </w:r>
      <w:r>
        <w:rPr>
          <w:spacing w:val="-9"/>
        </w:rPr>
        <w:t> </w:t>
      </w:r>
      <w:r>
        <w:rPr/>
        <w:t>um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>
          <w:spacing w:val="-1"/>
        </w:rPr>
        <w:t>zurück-</w:t>
      </w:r>
      <w:r>
        <w:rPr>
          <w:spacing w:val="35"/>
        </w:rPr>
        <w:t> </w:t>
      </w:r>
      <w:r>
        <w:rPr>
          <w:spacing w:val="-1"/>
        </w:rPr>
        <w:t>gewonnene</w:t>
      </w:r>
      <w:r>
        <w:rPr>
          <w:spacing w:val="19"/>
        </w:rPr>
        <w:t> </w:t>
      </w:r>
      <w:r>
        <w:rPr>
          <w:spacing w:val="-1"/>
        </w:rPr>
        <w:t>Energie</w:t>
      </w:r>
      <w:r>
        <w:rPr>
          <w:spacing w:val="19"/>
        </w:rPr>
        <w:t> </w:t>
      </w:r>
      <w:r>
        <w:rPr/>
        <w:t>wieder</w:t>
      </w:r>
      <w:r>
        <w:rPr>
          <w:spacing w:val="19"/>
        </w:rPr>
        <w:t> </w:t>
      </w:r>
      <w:r>
        <w:rPr/>
        <w:t>zu</w:t>
      </w:r>
      <w:r>
        <w:rPr>
          <w:spacing w:val="19"/>
        </w:rPr>
        <w:t> </w:t>
      </w:r>
      <w:r>
        <w:rPr/>
        <w:t>verwenden.</w:t>
      </w:r>
      <w:r>
        <w:rPr>
          <w:spacing w:val="29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Rückspeisung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Restwärme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>
          <w:spacing w:val="-2"/>
        </w:rPr>
        <w:t>Lüf-</w:t>
      </w:r>
      <w:r>
        <w:rPr>
          <w:spacing w:val="25"/>
        </w:rPr>
        <w:t> </w:t>
      </w:r>
      <w:r>
        <w:rPr/>
        <w:t>tungsabluft</w:t>
      </w:r>
      <w:r>
        <w:rPr>
          <w:spacing w:val="6"/>
        </w:rPr>
        <w:t> </w:t>
      </w:r>
      <w:r>
        <w:rPr/>
        <w:t>vermindert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>
          <w:spacing w:val="-1"/>
        </w:rPr>
        <w:t>Auskühlung</w:t>
      </w:r>
      <w:r>
        <w:rPr>
          <w:spacing w:val="6"/>
        </w:rPr>
        <w:t> </w:t>
      </w:r>
      <w:r>
        <w:rPr/>
        <w:t>des</w:t>
      </w:r>
      <w:r>
        <w:rPr>
          <w:spacing w:val="42"/>
        </w:rPr>
        <w:t> </w:t>
      </w:r>
      <w:r>
        <w:rPr>
          <w:spacing w:val="-2"/>
        </w:rPr>
        <w:t>Erdreichs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Sonde</w:t>
      </w:r>
      <w:r>
        <w:rPr>
          <w:spacing w:val="-4"/>
        </w:rPr>
        <w:t> </w:t>
      </w:r>
      <w:r>
        <w:rPr/>
        <w:t>herum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führt</w:t>
      </w:r>
      <w:r>
        <w:rPr>
          <w:spacing w:val="-4"/>
        </w:rPr>
        <w:t> </w:t>
      </w:r>
      <w:r>
        <w:rPr/>
        <w:t>zu</w:t>
      </w:r>
      <w:r>
        <w:rPr>
          <w:spacing w:val="24"/>
        </w:rPr>
        <w:t> </w:t>
      </w:r>
      <w:r>
        <w:rPr/>
        <w:t>einer</w:t>
      </w:r>
      <w:r>
        <w:rPr>
          <w:spacing w:val="-6"/>
        </w:rPr>
        <w:t> </w:t>
      </w:r>
      <w:r>
        <w:rPr>
          <w:spacing w:val="-1"/>
        </w:rPr>
        <w:t>höheren</w:t>
      </w:r>
      <w:r>
        <w:rPr>
          <w:spacing w:val="-6"/>
        </w:rPr>
        <w:t> </w:t>
      </w:r>
      <w:r>
        <w:rPr>
          <w:spacing w:val="-1"/>
        </w:rPr>
        <w:t>Jahresarbeitszahl</w:t>
      </w:r>
      <w:r>
        <w:rPr>
          <w:spacing w:val="-6"/>
        </w:rPr>
        <w:t> </w:t>
      </w:r>
      <w:r>
        <w:rPr>
          <w:spacing w:val="-1"/>
        </w:rPr>
        <w:t>(JAZ)/Effizi-</w:t>
      </w:r>
      <w:r>
        <w:rPr>
          <w:spacing w:val="46"/>
        </w:rPr>
        <w:t> </w:t>
      </w:r>
      <w:r>
        <w:rPr/>
        <w:t>enz</w:t>
      </w:r>
      <w:r>
        <w:rPr>
          <w:spacing w:val="35"/>
        </w:rPr>
        <w:t> </w:t>
      </w:r>
      <w:r>
        <w:rPr/>
        <w:t>der</w:t>
      </w:r>
      <w:r>
        <w:rPr>
          <w:spacing w:val="37"/>
        </w:rPr>
        <w:t> </w:t>
      </w:r>
      <w:r>
        <w:rPr>
          <w:spacing w:val="-11"/>
        </w:rPr>
        <w:t>WP.</w:t>
      </w:r>
      <w:r>
        <w:rPr>
          <w:spacing w:val="24"/>
        </w:rPr>
        <w:t> </w:t>
      </w:r>
      <w:r>
        <w:rPr/>
        <w:t>Gemäss</w:t>
      </w:r>
      <w:r>
        <w:rPr>
          <w:spacing w:val="37"/>
        </w:rPr>
        <w:t> </w:t>
      </w:r>
      <w:r>
        <w:rPr>
          <w:spacing w:val="-3"/>
        </w:rPr>
        <w:t>WP-Testzentrum</w:t>
      </w:r>
      <w:r>
        <w:rPr>
          <w:spacing w:val="37"/>
        </w:rPr>
        <w:t> </w:t>
      </w:r>
      <w:r>
        <w:rPr/>
        <w:t>der</w:t>
      </w:r>
      <w:r>
        <w:rPr>
          <w:spacing w:val="33"/>
          <w:w w:val="101"/>
        </w:rPr>
        <w:t> </w:t>
      </w:r>
      <w:r>
        <w:rPr>
          <w:spacing w:val="-1"/>
        </w:rPr>
        <w:t>Hochschule</w:t>
      </w:r>
      <w:r>
        <w:rPr>
          <w:spacing w:val="27"/>
        </w:rPr>
        <w:t> </w:t>
      </w:r>
      <w:r>
        <w:rPr/>
        <w:t>für</w:t>
      </w:r>
      <w:r>
        <w:rPr>
          <w:spacing w:val="12"/>
        </w:rPr>
        <w:t> </w:t>
      </w:r>
      <w:r>
        <w:rPr>
          <w:spacing w:val="-3"/>
        </w:rPr>
        <w:t>Technik</w:t>
      </w:r>
      <w:r>
        <w:rPr>
          <w:spacing w:val="27"/>
        </w:rPr>
        <w:t> </w:t>
      </w:r>
      <w:r>
        <w:rPr/>
        <w:t>Buchs</w:t>
      </w:r>
      <w:r>
        <w:rPr>
          <w:spacing w:val="28"/>
        </w:rPr>
        <w:t> </w:t>
      </w:r>
      <w:r>
        <w:rPr>
          <w:spacing w:val="-1"/>
        </w:rPr>
        <w:t>beträgt</w:t>
      </w:r>
      <w:r>
        <w:rPr>
          <w:spacing w:val="27"/>
        </w:rPr>
        <w:t> </w:t>
      </w:r>
      <w:r>
        <w:rPr/>
        <w:t>die</w:t>
      </w:r>
      <w:r>
        <w:rPr>
          <w:spacing w:val="37"/>
          <w:w w:val="101"/>
        </w:rPr>
        <w:t> </w:t>
      </w:r>
      <w:r>
        <w:rPr/>
        <w:t>Effizienz-steigerung</w:t>
      </w:r>
      <w:r>
        <w:rPr>
          <w:spacing w:val="21"/>
        </w:rPr>
        <w:t> </w:t>
      </w:r>
      <w:r>
        <w:rPr/>
        <w:t>2.5-3%</w:t>
      </w:r>
      <w:r>
        <w:rPr>
          <w:spacing w:val="21"/>
        </w:rPr>
        <w:t> </w:t>
      </w:r>
      <w:r>
        <w:rPr>
          <w:spacing w:val="-2"/>
        </w:rPr>
        <w:t>pro</w:t>
      </w:r>
      <w:r>
        <w:rPr>
          <w:spacing w:val="21"/>
        </w:rPr>
        <w:t> </w:t>
      </w:r>
      <w:r>
        <w:rPr>
          <w:spacing w:val="-1"/>
        </w:rPr>
        <w:t>Grad</w:t>
      </w:r>
      <w:r>
        <w:rPr>
          <w:spacing w:val="21"/>
        </w:rPr>
        <w:t> </w:t>
      </w:r>
      <w:r>
        <w:rPr/>
        <w:t>Cel-</w:t>
      </w:r>
      <w:r>
        <w:rPr>
          <w:spacing w:val="24"/>
          <w:w w:val="101"/>
        </w:rPr>
        <w:t> </w:t>
      </w:r>
      <w:r>
        <w:rPr/>
        <w:t>sius</w:t>
      </w:r>
      <w:r>
        <w:rPr>
          <w:spacing w:val="24"/>
        </w:rPr>
        <w:t> </w:t>
      </w:r>
      <w:r>
        <w:rPr>
          <w:spacing w:val="-1"/>
        </w:rPr>
        <w:t>Quellentemperaturerhöhung.</w:t>
      </w:r>
    </w:p>
    <w:p>
      <w:pPr>
        <w:pStyle w:val="BodyText"/>
        <w:spacing w:line="227" w:lineRule="auto" w:before="3"/>
        <w:ind w:right="8"/>
        <w:jc w:val="both"/>
      </w:pPr>
      <w:r>
        <w:rPr/>
        <w:t>Dank</w:t>
      </w:r>
      <w:r>
        <w:rPr>
          <w:spacing w:val="39"/>
        </w:rPr>
        <w:t> </w:t>
      </w:r>
      <w:r>
        <w:rPr/>
        <w:t>der</w:t>
      </w:r>
      <w:r>
        <w:rPr>
          <w:spacing w:val="40"/>
        </w:rPr>
        <w:t> </w:t>
      </w:r>
      <w:r>
        <w:rPr/>
        <w:t>WP-Effizienz</w:t>
      </w:r>
      <w:r>
        <w:rPr>
          <w:spacing w:val="39"/>
        </w:rPr>
        <w:t> </w:t>
      </w:r>
      <w:r>
        <w:rPr/>
        <w:t>und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hohen</w:t>
      </w:r>
      <w:r>
        <w:rPr>
          <w:spacing w:val="22"/>
        </w:rPr>
        <w:t> </w:t>
      </w:r>
      <w:r>
        <w:rPr>
          <w:spacing w:val="-1"/>
        </w:rPr>
        <w:t>Solarertrags</w:t>
      </w:r>
      <w:r>
        <w:rPr>
          <w:spacing w:val="47"/>
        </w:rPr>
        <w:t> </w:t>
      </w:r>
      <w:r>
        <w:rPr>
          <w:spacing w:val="-1"/>
        </w:rPr>
        <w:t>kann</w:t>
      </w:r>
      <w:r>
        <w:rPr>
          <w:spacing w:val="48"/>
        </w:rPr>
        <w:t> </w:t>
      </w:r>
      <w:r>
        <w:rPr/>
        <w:t>die</w:t>
      </w:r>
      <w:r>
        <w:rPr>
          <w:spacing w:val="47"/>
        </w:rPr>
        <w:t> </w:t>
      </w:r>
      <w:r>
        <w:rPr>
          <w:spacing w:val="-1"/>
        </w:rPr>
        <w:t>Familie</w:t>
      </w:r>
      <w:r>
        <w:rPr>
          <w:spacing w:val="48"/>
        </w:rPr>
        <w:t> </w:t>
      </w:r>
      <w:r>
        <w:rPr/>
        <w:t>Casaulta</w:t>
      </w:r>
      <w:r>
        <w:rPr>
          <w:spacing w:val="32"/>
        </w:rPr>
        <w:t> </w:t>
      </w:r>
      <w:r>
        <w:rPr/>
        <w:t>6’280</w:t>
      </w:r>
      <w:r>
        <w:rPr>
          <w:spacing w:val="41"/>
        </w:rPr>
        <w:t> </w:t>
      </w:r>
      <w:r>
        <w:rPr>
          <w:spacing w:val="-2"/>
        </w:rPr>
        <w:t>kWh/a</w:t>
      </w:r>
      <w:r>
        <w:rPr>
          <w:spacing w:val="42"/>
        </w:rPr>
        <w:t> </w:t>
      </w:r>
      <w:r>
        <w:rPr/>
        <w:t>ins</w:t>
      </w:r>
      <w:r>
        <w:rPr>
          <w:spacing w:val="41"/>
        </w:rPr>
        <w:t> </w:t>
      </w:r>
      <w:r>
        <w:rPr>
          <w:spacing w:val="1"/>
        </w:rPr>
        <w:t>Netz</w:t>
      </w:r>
      <w:r>
        <w:rPr>
          <w:spacing w:val="42"/>
        </w:rPr>
        <w:t> </w:t>
      </w:r>
      <w:r>
        <w:rPr>
          <w:spacing w:val="-1"/>
        </w:rPr>
        <w:t>einspeisen.</w:t>
      </w:r>
      <w:r>
        <w:rPr>
          <w:spacing w:val="31"/>
        </w:rPr>
        <w:t> </w:t>
      </w:r>
      <w:r>
        <w:rPr/>
        <w:t>Mit</w:t>
      </w:r>
      <w:r>
        <w:rPr>
          <w:spacing w:val="20"/>
        </w:rPr>
        <w:t> </w:t>
      </w:r>
      <w:r>
        <w:rPr>
          <w:spacing w:val="-1"/>
        </w:rPr>
        <w:t>diesem</w:t>
      </w:r>
      <w:r>
        <w:rPr>
          <w:spacing w:val="39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-freien</w:t>
      </w:r>
      <w:r>
        <w:rPr>
          <w:spacing w:val="40"/>
        </w:rPr>
        <w:t> </w:t>
      </w:r>
      <w:r>
        <w:rPr>
          <w:spacing w:val="-1"/>
        </w:rPr>
        <w:t>Solarstromüberschuss</w:t>
      </w:r>
      <w:r>
        <w:rPr>
          <w:spacing w:val="37"/>
        </w:rPr>
        <w:t> </w:t>
      </w:r>
      <w:r>
        <w:rPr>
          <w:spacing w:val="-1"/>
        </w:rPr>
        <w:t>könnten</w:t>
      </w:r>
      <w:r>
        <w:rPr>
          <w:spacing w:val="3"/>
        </w:rPr>
        <w:t> </w:t>
      </w:r>
      <w:r>
        <w:rPr>
          <w:spacing w:val="-1"/>
        </w:rPr>
        <w:t>Rosmarie</w:t>
      </w:r>
      <w:r>
        <w:rPr>
          <w:spacing w:val="3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4"/>
        </w:rPr>
        <w:t>Tonin</w:t>
      </w:r>
      <w:r>
        <w:rPr>
          <w:spacing w:val="3"/>
        </w:rPr>
        <w:t> </w:t>
      </w:r>
      <w:r>
        <w:rPr/>
        <w:t>Casaulta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ei-</w:t>
      </w:r>
      <w:r>
        <w:rPr>
          <w:spacing w:val="21"/>
        </w:rPr>
        <w:t> </w:t>
      </w:r>
      <w:r>
        <w:rPr/>
        <w:t>nem</w:t>
      </w:r>
      <w:r>
        <w:rPr>
          <w:spacing w:val="42"/>
        </w:rPr>
        <w:t> </w:t>
      </w:r>
      <w:r>
        <w:rPr>
          <w:spacing w:val="-1"/>
        </w:rPr>
        <w:t>Elektroauto</w:t>
      </w:r>
      <w:r>
        <w:rPr>
          <w:spacing w:val="43"/>
        </w:rPr>
        <w:t> </w:t>
      </w:r>
      <w:r>
        <w:rPr/>
        <w:t>jährlich</w:t>
      </w:r>
      <w:r>
        <w:rPr>
          <w:spacing w:val="42"/>
        </w:rPr>
        <w:t> </w:t>
      </w:r>
      <w:r>
        <w:rPr/>
        <w:t>gut</w:t>
      </w:r>
      <w:r>
        <w:rPr>
          <w:spacing w:val="43"/>
        </w:rPr>
        <w:t> </w:t>
      </w:r>
      <w:r>
        <w:rPr/>
        <w:t>1.5</w:t>
      </w:r>
      <w:r>
        <w:rPr>
          <w:spacing w:val="43"/>
        </w:rPr>
        <w:t> </w:t>
      </w:r>
      <w:r>
        <w:rPr/>
        <w:t>Mal</w:t>
      </w:r>
      <w:r>
        <w:rPr>
          <w:spacing w:val="42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2"/>
        </w:rPr>
        <w:t>Erde</w:t>
      </w:r>
      <w:r>
        <w:rPr/>
        <w:t> </w:t>
      </w:r>
      <w:r>
        <w:rPr>
          <w:spacing w:val="-1"/>
        </w:rPr>
        <w:t>umrunden.</w:t>
      </w:r>
    </w:p>
    <w:p>
      <w:pPr>
        <w:pStyle w:val="BodyText"/>
        <w:spacing w:line="232" w:lineRule="auto" w:before="1"/>
        <w:ind w:right="8"/>
        <w:jc w:val="both"/>
      </w:pPr>
      <w:r>
        <w:rPr/>
        <w:t>Der</w:t>
      </w:r>
      <w:r>
        <w:rPr>
          <w:spacing w:val="19"/>
        </w:rPr>
        <w:t> </w:t>
      </w:r>
      <w:r>
        <w:rPr/>
        <w:t>jährliche</w:t>
      </w:r>
      <w:r>
        <w:rPr>
          <w:spacing w:val="19"/>
        </w:rPr>
        <w:t> </w:t>
      </w:r>
      <w:r>
        <w:rPr>
          <w:spacing w:val="-1"/>
        </w:rPr>
        <w:t>Solarstromüberschuss</w:t>
      </w:r>
      <w:r>
        <w:rPr>
          <w:spacing w:val="19"/>
        </w:rPr>
        <w:t> </w:t>
      </w:r>
      <w:r>
        <w:rPr/>
        <w:t>von</w:t>
      </w:r>
      <w:r>
        <w:rPr>
          <w:spacing w:val="23"/>
        </w:rPr>
        <w:t> </w:t>
      </w:r>
      <w:r>
        <w:rPr/>
        <w:t>135%</w:t>
      </w:r>
      <w:r>
        <w:rPr>
          <w:spacing w:val="7"/>
        </w:rPr>
        <w:t> </w:t>
      </w:r>
      <w:r>
        <w:rPr/>
        <w:t>oder</w:t>
      </w:r>
      <w:r>
        <w:rPr>
          <w:spacing w:val="7"/>
        </w:rPr>
        <w:t> </w:t>
      </w:r>
      <w:r>
        <w:rPr/>
        <w:t>6’280</w:t>
      </w:r>
      <w:r>
        <w:rPr>
          <w:spacing w:val="7"/>
        </w:rPr>
        <w:t> </w:t>
      </w:r>
      <w:r>
        <w:rPr/>
        <w:t>kWh</w:t>
      </w:r>
      <w:r>
        <w:rPr>
          <w:spacing w:val="7"/>
        </w:rPr>
        <w:t> </w:t>
      </w:r>
      <w:r>
        <w:rPr/>
        <w:t>zeigt,</w:t>
      </w:r>
      <w:r>
        <w:rPr>
          <w:spacing w:val="-3"/>
        </w:rPr>
        <w:t> </w:t>
      </w:r>
      <w:r>
        <w:rPr/>
        <w:t>dass</w:t>
      </w:r>
      <w:r>
        <w:rPr>
          <w:spacing w:val="15"/>
        </w:rPr>
        <w:t> </w:t>
      </w:r>
      <w:r>
        <w:rPr/>
        <w:t>die</w:t>
      </w:r>
      <w:r>
        <w:rPr>
          <w:spacing w:val="7"/>
        </w:rPr>
        <w:t> </w:t>
      </w:r>
      <w:r>
        <w:rPr>
          <w:spacing w:val="-2"/>
        </w:rPr>
        <w:t>Fa-</w:t>
      </w:r>
      <w:r>
        <w:rPr>
          <w:spacing w:val="24"/>
        </w:rPr>
        <w:t> </w:t>
      </w:r>
      <w:r>
        <w:rPr/>
        <w:t>milie</w:t>
      </w:r>
      <w:r>
        <w:rPr>
          <w:spacing w:val="3"/>
        </w:rPr>
        <w:t> </w:t>
      </w:r>
      <w:r>
        <w:rPr/>
        <w:t>Casaulta</w:t>
      </w:r>
      <w:r>
        <w:rPr>
          <w:spacing w:val="3"/>
        </w:rPr>
        <w:t> </w:t>
      </w:r>
      <w:r>
        <w:rPr>
          <w:spacing w:val="1"/>
        </w:rPr>
        <w:t>statt</w:t>
      </w:r>
      <w:r>
        <w:rPr>
          <w:spacing w:val="3"/>
        </w:rPr>
        <w:t> </w:t>
      </w:r>
      <w:r>
        <w:rPr/>
        <w:t>einer</w:t>
      </w:r>
      <w:r>
        <w:rPr>
          <w:spacing w:val="3"/>
        </w:rPr>
        <w:t> </w:t>
      </w:r>
      <w:r>
        <w:rPr/>
        <w:t>gesetzlich</w:t>
      </w:r>
      <w:r>
        <w:rPr>
          <w:spacing w:val="3"/>
        </w:rPr>
        <w:t> </w:t>
      </w:r>
      <w:r>
        <w:rPr/>
        <w:t>erlaub-</w:t>
      </w:r>
      <w:r>
        <w:rPr>
          <w:spacing w:val="30"/>
        </w:rPr>
        <w:t> </w:t>
      </w:r>
      <w:r>
        <w:rPr/>
        <w:t>ten</w:t>
      </w:r>
      <w:r>
        <w:rPr>
          <w:spacing w:val="2"/>
        </w:rPr>
        <w:t> </w:t>
      </w:r>
      <w:r>
        <w:rPr>
          <w:spacing w:val="-1"/>
        </w:rPr>
        <w:t>Energieschleuder</w:t>
      </w:r>
      <w:r>
        <w:rPr>
          <w:spacing w:val="2"/>
        </w:rPr>
        <w:t> </w:t>
      </w:r>
      <w:r>
        <w:rPr/>
        <w:t>ein</w:t>
      </w:r>
      <w:r>
        <w:rPr>
          <w:spacing w:val="2"/>
        </w:rPr>
        <w:t> </w:t>
      </w:r>
      <w:r>
        <w:rPr/>
        <w:t>neues</w:t>
      </w:r>
      <w:r>
        <w:rPr>
          <w:spacing w:val="2"/>
        </w:rPr>
        <w:t> </w:t>
      </w:r>
      <w:r>
        <w:rPr>
          <w:spacing w:val="-1"/>
        </w:rPr>
        <w:t>schickes</w:t>
      </w:r>
      <w:r>
        <w:rPr>
          <w:spacing w:val="29"/>
        </w:rPr>
        <w:t> </w:t>
      </w:r>
      <w:r>
        <w:rPr/>
        <w:t>Solarkraftwerk</w:t>
      </w:r>
      <w:r>
        <w:rPr>
          <w:spacing w:val="-16"/>
        </w:rPr>
        <w:t> </w:t>
      </w:r>
      <w:r>
        <w:rPr/>
        <w:t>mit</w:t>
      </w:r>
      <w:r>
        <w:rPr>
          <w:spacing w:val="-16"/>
        </w:rPr>
        <w:t> </w:t>
      </w:r>
      <w:r>
        <w:rPr/>
        <w:t>hohem</w:t>
      </w:r>
      <w:r>
        <w:rPr>
          <w:spacing w:val="-16"/>
        </w:rPr>
        <w:t> </w:t>
      </w:r>
      <w:r>
        <w:rPr>
          <w:spacing w:val="-2"/>
        </w:rPr>
        <w:t>Wohnkomfort</w:t>
      </w:r>
      <w:r>
        <w:rPr>
          <w:spacing w:val="-16"/>
        </w:rPr>
        <w:t> </w:t>
      </w:r>
      <w:r>
        <w:rPr>
          <w:spacing w:val="-2"/>
        </w:rPr>
        <w:t>rea-</w:t>
      </w:r>
      <w:r>
        <w:rPr>
          <w:spacing w:val="35"/>
          <w:w w:val="99"/>
        </w:rPr>
        <w:t> </w:t>
      </w:r>
      <w:r>
        <w:rPr/>
        <w:t>lisierte.</w:t>
      </w:r>
      <w:r>
        <w:rPr>
          <w:spacing w:val="16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PlusEnergieBau</w:t>
      </w:r>
      <w:r>
        <w:rPr>
          <w:spacing w:val="28"/>
        </w:rPr>
        <w:t> </w:t>
      </w:r>
      <w:r>
        <w:rPr>
          <w:spacing w:val="-2"/>
        </w:rPr>
        <w:t>wird</w:t>
      </w:r>
      <w:r>
        <w:rPr>
          <w:spacing w:val="27"/>
        </w:rPr>
        <w:t> </w:t>
      </w:r>
      <w:r>
        <w:rPr/>
        <w:t>mit</w:t>
      </w:r>
      <w:r>
        <w:rPr>
          <w:spacing w:val="28"/>
        </w:rPr>
        <w:t> </w:t>
      </w:r>
      <w:r>
        <w:rPr/>
        <w:t>dem</w:t>
      </w:r>
      <w:r>
        <w:rPr>
          <w:spacing w:val="42"/>
        </w:rPr>
        <w:t> </w:t>
      </w:r>
      <w:r>
        <w:rPr>
          <w:spacing w:val="-1"/>
        </w:rPr>
        <w:t>PlusEnergieBau-Solarpreis</w:t>
      </w:r>
      <w:r>
        <w:rPr>
          <w:spacing w:val="27"/>
        </w:rPr>
        <w:t> </w:t>
      </w:r>
      <w:r>
        <w:rPr/>
        <w:t>2014</w:t>
      </w:r>
      <w:r>
        <w:rPr>
          <w:spacing w:val="28"/>
        </w:rPr>
        <w:t> </w:t>
      </w:r>
      <w:r>
        <w:rPr>
          <w:spacing w:val="-1"/>
        </w:rPr>
        <w:t>ausge-</w:t>
      </w:r>
      <w:r>
        <w:rPr>
          <w:spacing w:val="25"/>
        </w:rPr>
        <w:t> </w:t>
      </w:r>
      <w:r>
        <w:rPr/>
        <w:t>zeichnet.</w:t>
      </w:r>
    </w:p>
    <w:p>
      <w:pPr>
        <w:spacing w:line="230" w:lineRule="exact" w:before="75"/>
        <w:ind w:left="106" w:right="4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commune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Lumbrein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trouve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Val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Lumnezia,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aussi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appelé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«vallée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lumière»: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raison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d’un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nombre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d’heures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d’ensoleillement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très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élevé,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région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convi-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ent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particulièrement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bien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2,4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sud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7,5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côté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sud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toit,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maison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annuelle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d’électricité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supérieure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moyenne,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1’104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kWh/kWc.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rende-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total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10’900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corres-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pond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à plus du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double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besoins.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5"/>
        <w:ind w:left="106" w:right="4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pompe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(PAC)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pourvoit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chauffage.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résiduelle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ventila-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récupérée,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puis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injectée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être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réutilisée.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limitant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refroidisse-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autour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sonde,</w:t>
      </w:r>
      <w:r>
        <w:rPr>
          <w:rFonts w:ascii="Theinhardt Regular Italic" w:hAnsi="Theinhardt Regular Italic" w:cs="Theinhardt Regular Italic" w:eastAsia="Theinhardt Regular Italic"/>
          <w:i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PAC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atteint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meilleur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coefficient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performance.</w:t>
      </w:r>
      <w:r>
        <w:rPr>
          <w:rFonts w:ascii="Theinhardt Regular Italic" w:hAnsi="Theinhardt Regular Italic" w:cs="Theinhardt Regular Italic" w:eastAsia="Theinhardt Regular Italic"/>
          <w:i/>
          <w:spacing w:val="-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Selon</w:t>
      </w:r>
      <w:r>
        <w:rPr>
          <w:rFonts w:ascii="Theinhardt Regular Italic" w:hAnsi="Theinhardt Regular Italic" w:cs="Theinhardt Regular Italic" w:eastAsia="Theinhardt Regular Italic"/>
          <w:i/>
          <w:spacing w:val="35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centre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d’essai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PAC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Haute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école</w:t>
      </w:r>
      <w:r>
        <w:rPr>
          <w:rFonts w:ascii="Theinhardt Regular Italic" w:hAnsi="Theinhardt Regular Italic" w:cs="Theinhardt Regular Italic" w:eastAsia="Theinhardt Regular Italic"/>
          <w:i/>
          <w:spacing w:val="23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technique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Buchs,</w:t>
      </w:r>
      <w:r>
        <w:rPr>
          <w:rFonts w:ascii="Theinhardt Regular Italic" w:hAnsi="Theinhardt Regular Italic" w:cs="Theinhardt Regular Italic" w:eastAsia="Theinhardt Regular Italic"/>
          <w:i/>
          <w:spacing w:val="-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gain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d’efficacité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2,5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3%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degré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Celsius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d’augmentation</w:t>
      </w:r>
      <w:r>
        <w:rPr>
          <w:rFonts w:ascii="Theinhardt Regular Italic" w:hAnsi="Theinhardt Regular Italic" w:cs="Theinhardt Regular Italic" w:eastAsia="Theinhardt Regular Italic"/>
          <w:i/>
          <w:spacing w:val="28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température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source.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27" w:lineRule="auto" w:before="3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L’efficacité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supérieure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PAC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ren-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dement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élevé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permettent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Casaulta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d’injecter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6’280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seau.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cet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excédent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,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Rosmarie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Tonin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Casaulta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pourraient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faire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peu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près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1,5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fois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tour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planète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voiture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électrique.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"/>
        <w:ind w:left="106" w:right="4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surplus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annuel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(135%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ou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6’280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kWh)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montre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qu’au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lieu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d’un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gouffre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énergétique légalement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torisé,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Casaulta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préféré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réaliser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nouvelle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centrale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élégante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con-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fortable.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récom-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pense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volonté.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11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6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5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  <w:tab/>
      </w:r>
      <w:r>
        <w:rPr>
          <w:rFonts w:ascii="Theinhardt Regular"/>
          <w:spacing w:val="1"/>
          <w:sz w:val="14"/>
        </w:rPr>
        <w:t>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201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z w:val="14"/>
        </w:rPr>
        <w:t>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5"/>
          <w:sz w:val="14"/>
        </w:rPr>
        <w:t>0.15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0.95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1"/>
        <w:gridCol w:w="465"/>
        <w:gridCol w:w="625"/>
      </w:tblGrid>
      <w:tr>
        <w:trPr>
          <w:trHeight w:val="14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203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2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6.8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30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1’383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4.9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21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997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Hilfsstrom: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3.8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17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777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Haushaltsstrom: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0"/>
                <w:sz w:val="14"/>
              </w:rPr>
              <w:t>7</w:t>
            </w:r>
            <w:r>
              <w:rPr>
                <w:rFonts w:ascii="Theinhardt Regular"/>
                <w:spacing w:val="1"/>
                <w:sz w:val="14"/>
              </w:rPr>
              <w:t>.</w:t>
            </w:r>
            <w:r>
              <w:rPr>
                <w:rFonts w:ascii="Theinhardt Regular"/>
                <w:sz w:val="14"/>
              </w:rPr>
              <w:t>3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32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1’484</w:t>
            </w:r>
          </w:p>
        </w:tc>
      </w:tr>
      <w:tr>
        <w:trPr>
          <w:trHeight w:val="19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spacing w:val="3"/>
                <w:sz w:val="14"/>
              </w:rPr>
              <w:t>2.</w:t>
            </w:r>
            <w:r>
              <w:rPr>
                <w:rFonts w:ascii="Theinhardt Bold"/>
                <w:b/>
                <w:sz w:val="14"/>
              </w:rPr>
              <w:t>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4’641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33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   </w:t>
            </w:r>
            <w:r>
              <w:rPr>
                <w:rFonts w:ascii="Theinhardt Regular"/>
                <w:spacing w:val="1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2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2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1" w:val="left" w:leader="none"/>
              </w:tabs>
              <w:spacing w:line="17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PV:</w:t>
              <w:tab/>
            </w:r>
            <w:r>
              <w:rPr>
                <w:rFonts w:ascii="Theinhardt Regular"/>
                <w:spacing w:val="-1"/>
                <w:sz w:val="14"/>
              </w:rPr>
              <w:t>70</w:t>
            </w:r>
            <w:r>
              <w:rPr>
                <w:rFonts w:ascii="Theinhardt Regular"/>
                <w:sz w:val="14"/>
              </w:rPr>
              <w:t>    </w:t>
            </w:r>
            <w:r>
              <w:rPr>
                <w:rFonts w:ascii="Theinhardt Regular"/>
                <w:spacing w:val="9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9.9</w:t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156.1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235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10’925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40" w:hRule="exact"/>
        </w:trPr>
        <w:tc>
          <w:tcPr>
            <w:tcW w:w="2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235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10’925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4’641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41" w:hRule="exact"/>
        </w:trPr>
        <w:tc>
          <w:tcPr>
            <w:tcW w:w="21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135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8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6’284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7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Societad</w:t>
      </w:r>
      <w:r>
        <w:rPr>
          <w:rFonts w:ascii="Theinhardt Bold" w:hAnsi="Theinhardt Bold" w:cs="Theinhardt Bold" w:eastAsia="Theinhardt Bold"/>
          <w:b/>
          <w:bCs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Ovra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electrica</w:t>
      </w:r>
      <w:r>
        <w:rPr>
          <w:rFonts w:ascii="Theinhardt Bold" w:hAnsi="Theinhardt Bold" w:cs="Theinhardt Bold" w:eastAsia="Theinhardt Bold"/>
          <w:b/>
          <w:bCs/>
          <w:spacing w:val="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Lumbrein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0"/>
        <w:ind w:left="106" w:right="0" w:firstLine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am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-2"/>
          <w:sz w:val="14"/>
        </w:rPr>
        <w:t>15.6.2014,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1"/>
          <w:sz w:val="14"/>
        </w:rPr>
        <w:t>Giusep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z w:val="14"/>
        </w:rPr>
        <w:t>Capeder,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pacing w:val="-1"/>
          <w:sz w:val="14"/>
        </w:rPr>
        <w:t> 081 </w:t>
      </w:r>
      <w:r>
        <w:rPr>
          <w:rFonts w:ascii="Theinhardt Regular"/>
          <w:sz w:val="14"/>
        </w:rPr>
        <w:t>936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1"/>
          <w:sz w:val="14"/>
        </w:rPr>
        <w:t>88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49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Rosmarie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Tonin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Casaulta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2"/>
          <w:sz w:val="14"/>
        </w:rPr>
        <w:t>Sut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Gassa</w:t>
      </w:r>
      <w:r>
        <w:rPr>
          <w:rFonts w:ascii="Theinhardt Regular"/>
          <w:sz w:val="14"/>
        </w:rPr>
        <w:t> 5B</w:t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3"/>
          <w:sz w:val="14"/>
        </w:rPr>
        <w:t>7148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Lumbrein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931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31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2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Vincenz</w:t>
      </w:r>
      <w:r>
        <w:rPr>
          <w:rFonts w:ascii="Theinhardt Regular"/>
          <w:sz w:val="14"/>
        </w:rPr>
        <w:t> + </w:t>
      </w:r>
      <w:r>
        <w:rPr>
          <w:rFonts w:ascii="Theinhardt Regular"/>
          <w:spacing w:val="1"/>
          <w:sz w:val="14"/>
        </w:rPr>
        <w:t>Weishaupt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Architekten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Centrala</w:t>
      </w:r>
      <w:r>
        <w:rPr>
          <w:rFonts w:ascii="Theinhardt Regular"/>
          <w:sz w:val="14"/>
        </w:rPr>
        <w:t> 4, </w:t>
      </w:r>
      <w:r>
        <w:rPr>
          <w:rFonts w:ascii="Theinhardt Regular"/>
          <w:spacing w:val="-3"/>
          <w:sz w:val="14"/>
        </w:rPr>
        <w:t>7130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Ilanz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Bauphysik: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4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Bernhard-Bauexperte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Masanserstrasse</w:t>
      </w:r>
      <w:r>
        <w:rPr>
          <w:rFonts w:ascii="Theinhardt Regular"/>
          <w:sz w:val="14"/>
        </w:rPr>
        <w:t> 84,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42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14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Haustechnik: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Stefani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284 65 </w:t>
      </w:r>
      <w:r>
        <w:rPr>
          <w:rFonts w:ascii="Theinhardt Regular"/>
          <w:spacing w:val="-2"/>
          <w:sz w:val="14"/>
        </w:rPr>
        <w:t>24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H</w:t>
      </w:r>
      <w:r>
        <w:rPr>
          <w:rFonts w:ascii="Theinhardt Bold"/>
          <w:b/>
          <w:spacing w:val="2"/>
          <w:sz w:val="14"/>
        </w:rPr>
        <w:t>olz</w:t>
      </w:r>
      <w:r>
        <w:rPr>
          <w:rFonts w:ascii="Theinhardt Bold"/>
          <w:b/>
          <w:spacing w:val="4"/>
          <w:sz w:val="14"/>
        </w:rPr>
        <w:t>-</w:t>
      </w: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lementb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Künzli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Holz</w:t>
      </w:r>
      <w:r>
        <w:rPr>
          <w:rFonts w:ascii="Theinhardt Regular" w:hAnsi="Theinhardt Regular"/>
          <w:sz w:val="14"/>
        </w:rPr>
        <w:t> AG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Dischmastrasse</w:t>
      </w:r>
      <w:r>
        <w:rPr>
          <w:rFonts w:ascii="Theinhardt Regular"/>
          <w:sz w:val="14"/>
        </w:rPr>
        <w:t> 65, 7260 </w:t>
      </w:r>
      <w:r>
        <w:rPr>
          <w:rFonts w:ascii="Theinhardt Regular"/>
          <w:spacing w:val="1"/>
          <w:sz w:val="14"/>
        </w:rPr>
        <w:t>Davos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Dorf</w:t>
      </w:r>
    </w:p>
    <w:p>
      <w:pPr>
        <w:spacing w:line="160" w:lineRule="exact" w:before="43"/>
        <w:ind w:left="106" w:right="12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28.796997pt;width:167.25pt;height:.45pt;mso-position-horizontal-relative:page;mso-position-vertical-relative:paragraph;z-index:1120" coordorigin="7710,576" coordsize="3345,9">
            <v:group style="position:absolute;left:7732;top:580;width:3311;height:2" coordorigin="7732,580" coordsize="3311,2">
              <v:shape style="position:absolute;left:7732;top:580;width:3311;height:2" coordorigin="7732,580" coordsize="3311,0" path="m7732,580l11042,580e" filled="false" stroked="true" strokeweight=".425pt" strokecolor="#000000">
                <v:path arrowok="t"/>
                <v:stroke dashstyle="dash"/>
              </v:shape>
            </v:group>
            <v:group style="position:absolute;left:7714;top:580;width:2;height:2" coordorigin="7714,580" coordsize="2,2">
              <v:shape style="position:absolute;left:7714;top:580;width:2;height:2" coordorigin="7714,580" coordsize="0,0" path="m7714,580l7714,580e" filled="false" stroked="true" strokeweight=".425pt" strokecolor="#000000">
                <v:path arrowok="t"/>
              </v:shape>
            </v:group>
            <v:group style="position:absolute;left:11051;top:580;width:2;height:2" coordorigin="11051,580" coordsize="2,2">
              <v:shape style="position:absolute;left:11051;top:580;width:2;height:2" coordorigin="11051,580" coordsize="0,0" path="m11051,580l11051,58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old"/>
          <w:b/>
          <w:spacing w:val="2"/>
          <w:sz w:val="14"/>
        </w:rPr>
        <w:t>Solarstrom-Netzverbundanlage:</w:t>
      </w:r>
      <w:r>
        <w:rPr>
          <w:rFonts w:ascii="Theinhardt Bold"/>
          <w:b/>
          <w:spacing w:val="23"/>
          <w:sz w:val="14"/>
        </w:rPr>
        <w:t> </w:t>
      </w:r>
      <w:r>
        <w:rPr>
          <w:rFonts w:ascii="Theinhardt Regular"/>
          <w:spacing w:val="2"/>
          <w:sz w:val="14"/>
        </w:rPr>
        <w:t>hassler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energia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alternativa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1"/>
          <w:sz w:val="14"/>
        </w:rPr>
        <w:t>Resgia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7432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Zillis</w:t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9"/>
          <w:szCs w:val="29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1761" cy="40690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761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4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00.356995pt;margin-top:10.508188pt;width:166.572pt;height:140.5986pt;mso-position-horizontal-relative:page;mso-position-vertical-relative:paragraph;z-index:-7960" type="#_x0000_t75" stroked="false">
            <v:imagedata r:id="rId6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before="3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position w:val="-177"/>
        </w:rPr>
        <w:drawing>
          <wp:inline distT="0" distB="0" distL="0" distR="0">
            <wp:extent cx="4391996" cy="299699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96" cy="2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7"/>
        </w:rPr>
      </w:r>
      <w:r>
        <w:rPr>
          <w:rFonts w:ascii="Times New Roman"/>
          <w:sz w:val="20"/>
        </w:rPr>
        <w:t>     </w:t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before="1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1"/>
          <w:szCs w:val="21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Im Jahresdurchschnitt 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sehr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sorgfältig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dach-,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seiten-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traufbündig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 PV-Anlage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135% oder 6’280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kWh mehr als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4’640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welche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das Haus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benötigt.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Im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’Tal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des Lichts’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Südfassade zusammen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monokris-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tallinen 8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überdurchschnittliche 1’104 kWh/kWp.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1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Mit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6’280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56"/>
          <w:w w:val="9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 Elektroauto rund 1.5 Mal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Erde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umrunden.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2" w:space="120"/>
            <w:col w:w="3406" w:space="166"/>
            <w:col w:w="3566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2014-09-17T14:48:34Z</dcterms:created>
  <dcterms:modified xsi:type="dcterms:W3CDTF">2014-09-17T14:48:34Z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