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06" w:val="left" w:leader="none"/>
        </w:tabs>
        <w:spacing w:line="230" w:lineRule="exact" w:before="28"/>
        <w:ind w:left="16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11320" coordorigin="571,273" coordsize="2,2">
            <v:shape style="position:absolute;left:571;top:273;width:2;height:2" coordorigin="571,273" coordsize="0,0" path="m571,273l571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11272" coordorigin="571,503" coordsize="2,2">
            <v:shape style="position:absolute;left:571;top:503;width:2;height:2" coordorigin="571,503" coordsize="0,0" path="m571,503l571,50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z w:val="18"/>
          <w:u w:val="dotted" w:color="000000"/>
        </w:rPr>
        <w:t>               </w:t>
      </w:r>
      <w:r>
        <w:rPr>
          <w:rFonts w:ascii="Theinhardt Black" w:hAnsi="Theinhardt Black"/>
          <w:b/>
          <w:spacing w:val="17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w w:val="95"/>
          <w:sz w:val="18"/>
          <w:u w:val="dotted" w:color="000000"/>
        </w:rPr>
        <w:t>Gebäude: </w:t>
      </w:r>
      <w:r>
        <w:rPr>
          <w:rFonts w:ascii="Theinhardt Black" w:hAnsi="Theinhardt Black"/>
          <w:b/>
          <w:spacing w:val="4"/>
          <w:w w:val="95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Sanierung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z w:val="18"/>
        </w:rPr>
        <w:t> 2014</w:t>
      </w:r>
    </w:p>
    <w:p>
      <w:pPr>
        <w:spacing w:line="230" w:lineRule="exact" w:before="28"/>
        <w:ind w:left="166" w:right="102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denkmalgeschützte,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neobarocke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Haus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Hutterli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Röthlisberger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Bern/BE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1898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wurde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umfassend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erneuert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wärmetechnisch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saniert.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Ge-</w:t>
      </w:r>
      <w:r>
        <w:rPr>
          <w:rFonts w:ascii="Theinhardt Bold" w:hAnsi="Theinhardt Bold" w:cs="Theinhardt Bold" w:eastAsia="Theinhardt Bold"/>
          <w:b/>
          <w:bCs/>
          <w:spacing w:val="5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samtenergiebedarf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46’900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76%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11’100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oberen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Dachflä-</w:t>
      </w:r>
      <w:r>
        <w:rPr>
          <w:rFonts w:ascii="Theinhardt Bold" w:hAnsi="Theinhardt Bold" w:cs="Theinhardt Bold" w:eastAsia="Theinhardt Bold"/>
          <w:b/>
          <w:bCs/>
          <w:spacing w:val="6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che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liefert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elektrischen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Leistung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2.7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kWp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3’200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Strom.</w:t>
      </w:r>
      <w:r>
        <w:rPr>
          <w:rFonts w:ascii="Theinhardt Bold" w:hAnsi="Theinhardt Bold" w:cs="Theinhardt Bold" w:eastAsia="Theinhardt Bold"/>
          <w:b/>
          <w:bCs/>
          <w:spacing w:val="4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Etwa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10’000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Solarwärme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thermischen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Anlagen,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welche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teilweise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unter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Naturschieferplatten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montiert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sind.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seiner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sorgfältig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integ-</w:t>
      </w:r>
      <w:r>
        <w:rPr>
          <w:rFonts w:ascii="Theinhardt Bold" w:hAnsi="Theinhardt Bold" w:cs="Theinhardt Bold" w:eastAsia="Theinhardt Bold"/>
          <w:b/>
          <w:bCs/>
          <w:spacing w:val="4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rierten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Solaranlage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Eigenenergieversorgung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etwa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29%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00" w:right="740"/>
          <w:cols w:num="2" w:equalWidth="0">
            <w:col w:w="2607" w:space="72"/>
            <w:col w:w="809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6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6"/>
          <w:sz w:val="40"/>
        </w:rPr>
        <w:t>EF</w:t>
      </w:r>
      <w:r>
        <w:rPr>
          <w:rFonts w:ascii="Theinhardt Black" w:hAnsi="Theinhardt Black"/>
          <w:b/>
          <w:color w:val="0067B1"/>
          <w:spacing w:val="-4"/>
          <w:sz w:val="40"/>
        </w:rPr>
        <w:t>H</w:t>
      </w:r>
      <w:r>
        <w:rPr>
          <w:rFonts w:ascii="Theinhardt Black" w:hAnsi="Theinhardt Black"/>
          <w:b/>
          <w:color w:val="0067B1"/>
          <w:spacing w:val="-20"/>
          <w:sz w:val="40"/>
        </w:rPr>
        <w:t>-</w:t>
      </w:r>
      <w:r>
        <w:rPr>
          <w:rFonts w:ascii="Theinhardt Black" w:hAnsi="Theinhardt Black"/>
          <w:b/>
          <w:color w:val="0067B1"/>
          <w:spacing w:val="4"/>
          <w:sz w:val="40"/>
        </w:rPr>
        <w:t>S</w:t>
      </w:r>
      <w:r>
        <w:rPr>
          <w:rFonts w:ascii="Theinhardt Black" w:hAnsi="Theinhardt Black"/>
          <w:b/>
          <w:color w:val="0067B1"/>
          <w:sz w:val="40"/>
        </w:rPr>
        <w:t>a</w:t>
      </w:r>
      <w:r>
        <w:rPr>
          <w:rFonts w:ascii="Theinhardt Black" w:hAnsi="Theinhardt Black"/>
          <w:b/>
          <w:color w:val="0067B1"/>
          <w:spacing w:val="-2"/>
          <w:sz w:val="40"/>
        </w:rPr>
        <w:t>nie</w:t>
      </w:r>
      <w:r>
        <w:rPr>
          <w:rFonts w:ascii="Theinhardt Black" w:hAnsi="Theinhardt Black"/>
          <w:b/>
          <w:color w:val="0067B1"/>
          <w:spacing w:val="3"/>
          <w:sz w:val="40"/>
        </w:rPr>
        <w:t>r</w:t>
      </w:r>
      <w:r>
        <w:rPr>
          <w:rFonts w:ascii="Theinhardt Black" w:hAnsi="Theinhardt Black"/>
          <w:b/>
          <w:color w:val="0067B1"/>
          <w:spacing w:val="-2"/>
          <w:sz w:val="40"/>
        </w:rPr>
        <w:t>u</w:t>
      </w:r>
      <w:r>
        <w:rPr>
          <w:rFonts w:ascii="Theinhardt Black" w:hAnsi="Theinhardt Black"/>
          <w:b/>
          <w:color w:val="0067B1"/>
          <w:spacing w:val="-3"/>
          <w:sz w:val="40"/>
        </w:rPr>
        <w:t>n</w:t>
      </w:r>
      <w:r>
        <w:rPr>
          <w:rFonts w:ascii="Theinhardt Black" w:hAnsi="Theinhardt Black"/>
          <w:b/>
          <w:color w:val="0067B1"/>
          <w:sz w:val="40"/>
        </w:rPr>
        <w:t>g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H</w:t>
      </w:r>
      <w:r>
        <w:rPr>
          <w:rFonts w:ascii="Theinhardt Black" w:hAnsi="Theinhardt Black"/>
          <w:b/>
          <w:color w:val="0067B1"/>
          <w:spacing w:val="8"/>
          <w:sz w:val="40"/>
        </w:rPr>
        <w:t>u</w:t>
      </w:r>
      <w:r>
        <w:rPr>
          <w:rFonts w:ascii="Theinhardt Black" w:hAnsi="Theinhardt Black"/>
          <w:b/>
          <w:color w:val="0067B1"/>
          <w:spacing w:val="16"/>
          <w:sz w:val="40"/>
        </w:rPr>
        <w:t>t</w:t>
      </w:r>
      <w:r>
        <w:rPr>
          <w:rFonts w:ascii="Theinhardt Black" w:hAnsi="Theinhardt Black"/>
          <w:b/>
          <w:color w:val="0067B1"/>
          <w:sz w:val="40"/>
        </w:rPr>
        <w:t>t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6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li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2"/>
          <w:sz w:val="40"/>
        </w:rPr>
        <w:t>R</w:t>
      </w:r>
      <w:r>
        <w:rPr>
          <w:rFonts w:ascii="Theinhardt Black" w:hAnsi="Theinhardt Black"/>
          <w:b/>
          <w:color w:val="0067B1"/>
          <w:spacing w:val="5"/>
          <w:sz w:val="40"/>
        </w:rPr>
        <w:t>ö</w:t>
      </w:r>
      <w:r>
        <w:rPr>
          <w:rFonts w:ascii="Theinhardt Black" w:hAnsi="Theinhardt Black"/>
          <w:b/>
          <w:color w:val="0067B1"/>
          <w:sz w:val="40"/>
        </w:rPr>
        <w:t>t</w:t>
      </w:r>
      <w:r>
        <w:rPr>
          <w:rFonts w:ascii="Theinhardt Black" w:hAnsi="Theinhardt Black"/>
          <w:b/>
          <w:color w:val="0067B1"/>
          <w:spacing w:val="-2"/>
          <w:sz w:val="40"/>
        </w:rPr>
        <w:t>h</w:t>
      </w:r>
      <w:r>
        <w:rPr>
          <w:rFonts w:ascii="Theinhardt Black" w:hAnsi="Theinhardt Black"/>
          <w:b/>
          <w:color w:val="0067B1"/>
          <w:sz w:val="40"/>
        </w:rPr>
        <w:t>l</w:t>
      </w:r>
      <w:r>
        <w:rPr>
          <w:rFonts w:ascii="Theinhardt Black" w:hAnsi="Theinhardt Black"/>
          <w:b/>
          <w:color w:val="0067B1"/>
          <w:spacing w:val="4"/>
          <w:sz w:val="40"/>
        </w:rPr>
        <w:t>i</w:t>
      </w:r>
      <w:r>
        <w:rPr>
          <w:rFonts w:ascii="Theinhardt Black" w:hAnsi="Theinhardt Black"/>
          <w:b/>
          <w:color w:val="0067B1"/>
          <w:sz w:val="40"/>
        </w:rPr>
        <w:t>s</w:t>
      </w:r>
      <w:r>
        <w:rPr>
          <w:rFonts w:ascii="Theinhardt Black" w:hAnsi="Theinhardt Black"/>
          <w:b/>
          <w:color w:val="0067B1"/>
          <w:spacing w:val="2"/>
          <w:sz w:val="40"/>
        </w:rPr>
        <w:t>b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4"/>
          <w:sz w:val="40"/>
        </w:rPr>
        <w:t>r</w:t>
      </w:r>
      <w:r>
        <w:rPr>
          <w:rFonts w:ascii="Theinhardt Black" w:hAnsi="Theinhardt Black"/>
          <w:b/>
          <w:color w:val="0067B1"/>
          <w:spacing w:val="-2"/>
          <w:sz w:val="40"/>
        </w:rPr>
        <w:t>ge</w:t>
      </w:r>
      <w:r>
        <w:rPr>
          <w:rFonts w:ascii="Theinhardt Black" w:hAnsi="Theinhardt Black"/>
          <w:b/>
          <w:color w:val="0067B1"/>
          <w:spacing w:val="-28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300</w:t>
      </w:r>
      <w:r>
        <w:rPr>
          <w:rFonts w:ascii="Theinhardt Black" w:hAnsi="Theinhardt Black"/>
          <w:b/>
          <w:color w:val="0067B1"/>
          <w:sz w:val="40"/>
        </w:rPr>
        <w:t>5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4"/>
          <w:sz w:val="40"/>
        </w:rPr>
        <w:t>B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4"/>
          <w:sz w:val="40"/>
        </w:rPr>
        <w:t>r</w:t>
      </w:r>
      <w:r>
        <w:rPr>
          <w:rFonts w:ascii="Theinhardt Black" w:hAnsi="Theinhardt Black"/>
          <w:b/>
          <w:color w:val="0067B1"/>
          <w:spacing w:val="6"/>
          <w:sz w:val="40"/>
        </w:rPr>
        <w:t>n/</w:t>
      </w:r>
      <w:r>
        <w:rPr>
          <w:rFonts w:ascii="Theinhardt Black" w:hAnsi="Theinhardt Black"/>
          <w:b/>
          <w:color w:val="0067B1"/>
          <w:spacing w:val="-6"/>
          <w:sz w:val="40"/>
        </w:rPr>
        <w:t>B</w:t>
      </w:r>
      <w:r>
        <w:rPr>
          <w:rFonts w:ascii="Theinhardt Black" w:hAnsi="Theinhardt Black"/>
          <w:b/>
          <w:color w:val="0067B1"/>
          <w:sz w:val="40"/>
        </w:rPr>
        <w:t>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00" w:right="740"/>
        </w:sectPr>
      </w:pPr>
    </w:p>
    <w:p>
      <w:pPr>
        <w:pStyle w:val="Heading1"/>
        <w:spacing w:line="230" w:lineRule="exact" w:before="52"/>
        <w:ind w:right="0"/>
        <w:jc w:val="both"/>
      </w:pPr>
      <w:r>
        <w:rPr>
          <w:spacing w:val="1"/>
        </w:rPr>
        <w:t>Das</w:t>
      </w:r>
      <w:r>
        <w:rPr>
          <w:spacing w:val="20"/>
        </w:rPr>
        <w:t> </w:t>
      </w:r>
      <w:r>
        <w:rPr/>
        <w:t>Berner</w:t>
      </w:r>
      <w:r>
        <w:rPr>
          <w:spacing w:val="20"/>
        </w:rPr>
        <w:t> </w:t>
      </w:r>
      <w:r>
        <w:rPr/>
        <w:t>Haus</w:t>
      </w:r>
      <w:r>
        <w:rPr>
          <w:spacing w:val="20"/>
        </w:rPr>
        <w:t> </w:t>
      </w:r>
      <w:r>
        <w:rPr/>
        <w:t>ist</w:t>
      </w:r>
      <w:r>
        <w:rPr>
          <w:spacing w:val="20"/>
        </w:rPr>
        <w:t> </w:t>
      </w:r>
      <w:r>
        <w:rPr/>
        <w:t>im</w:t>
      </w:r>
      <w:r>
        <w:rPr>
          <w:spacing w:val="20"/>
        </w:rPr>
        <w:t> </w:t>
      </w:r>
      <w:r>
        <w:rPr>
          <w:spacing w:val="-1"/>
        </w:rPr>
        <w:t>kantonalen</w:t>
      </w:r>
      <w:r>
        <w:rPr>
          <w:spacing w:val="20"/>
        </w:rPr>
        <w:t> </w:t>
      </w:r>
      <w:r>
        <w:rPr/>
        <w:t>Bauin-</w:t>
      </w:r>
      <w:r>
        <w:rPr>
          <w:spacing w:val="34"/>
        </w:rPr>
        <w:t> </w:t>
      </w:r>
      <w:r>
        <w:rPr/>
        <w:t>ventar</w:t>
      </w:r>
      <w:r>
        <w:rPr>
          <w:spacing w:val="6"/>
        </w:rPr>
        <w:t> </w:t>
      </w:r>
      <w:r>
        <w:rPr/>
        <w:t>mit</w:t>
      </w:r>
      <w:r>
        <w:rPr>
          <w:spacing w:val="6"/>
        </w:rPr>
        <w:t> </w:t>
      </w:r>
      <w:r>
        <w:rPr/>
        <w:t>der</w:t>
      </w:r>
      <w:r>
        <w:rPr>
          <w:spacing w:val="6"/>
        </w:rPr>
        <w:t> </w:t>
      </w:r>
      <w:r>
        <w:rPr/>
        <w:t>höchsten</w:t>
      </w:r>
      <w:r>
        <w:rPr>
          <w:spacing w:val="6"/>
        </w:rPr>
        <w:t> </w:t>
      </w:r>
      <w:r>
        <w:rPr/>
        <w:t>Schutzstufe</w:t>
      </w:r>
      <w:r>
        <w:rPr>
          <w:spacing w:val="6"/>
        </w:rPr>
        <w:t> </w:t>
      </w:r>
      <w:r>
        <w:rPr>
          <w:spacing w:val="-1"/>
        </w:rPr>
        <w:t>aufge-</w:t>
      </w:r>
      <w:r>
        <w:rPr>
          <w:spacing w:val="26"/>
        </w:rPr>
        <w:t> </w:t>
      </w:r>
      <w:r>
        <w:rPr>
          <w:spacing w:val="1"/>
        </w:rPr>
        <w:t>führt.</w:t>
      </w:r>
      <w:r>
        <w:rPr>
          <w:spacing w:val="-23"/>
        </w:rPr>
        <w:t> </w:t>
      </w:r>
      <w:r>
        <w:rPr/>
        <w:t>Deshalb</w:t>
      </w:r>
      <w:r>
        <w:rPr>
          <w:spacing w:val="-12"/>
        </w:rPr>
        <w:t> </w:t>
      </w:r>
      <w:r>
        <w:rPr>
          <w:spacing w:val="-1"/>
        </w:rPr>
        <w:t>musste</w:t>
      </w:r>
      <w:r>
        <w:rPr>
          <w:spacing w:val="-12"/>
        </w:rPr>
        <w:t> </w:t>
      </w:r>
      <w:r>
        <w:rPr/>
        <w:t>das</w:t>
      </w:r>
      <w:r>
        <w:rPr>
          <w:spacing w:val="-12"/>
        </w:rPr>
        <w:t> </w:t>
      </w:r>
      <w:r>
        <w:rPr/>
        <w:t>Bauvorhaben</w:t>
      </w:r>
      <w:r>
        <w:rPr>
          <w:spacing w:val="-12"/>
        </w:rPr>
        <w:t> </w:t>
      </w:r>
      <w:r>
        <w:rPr/>
        <w:t>von</w:t>
      </w:r>
      <w:r>
        <w:rPr>
          <w:spacing w:val="26"/>
        </w:rPr>
        <w:t> </w:t>
      </w:r>
      <w:r>
        <w:rPr/>
        <w:t>der</w:t>
      </w:r>
      <w:r>
        <w:rPr>
          <w:spacing w:val="3"/>
        </w:rPr>
        <w:t> </w:t>
      </w:r>
      <w:r>
        <w:rPr/>
        <w:t>Denkmalpflege</w:t>
      </w:r>
      <w:r>
        <w:rPr>
          <w:spacing w:val="3"/>
        </w:rPr>
        <w:t> </w:t>
      </w:r>
      <w:r>
        <w:rPr/>
        <w:t>begleitet</w:t>
      </w:r>
      <w:r>
        <w:rPr>
          <w:spacing w:val="3"/>
        </w:rPr>
        <w:t> </w:t>
      </w:r>
      <w:r>
        <w:rPr>
          <w:spacing w:val="-1"/>
        </w:rPr>
        <w:t>werden.</w:t>
      </w:r>
      <w:r>
        <w:rPr>
          <w:spacing w:val="40"/>
        </w:rPr>
        <w:t> </w:t>
      </w:r>
      <w:r>
        <w:rPr/>
        <w:t>Ur-</w:t>
      </w:r>
      <w:r>
        <w:rPr>
          <w:spacing w:val="23"/>
        </w:rPr>
        <w:t> </w:t>
      </w:r>
      <w:r>
        <w:rPr>
          <w:spacing w:val="-1"/>
        </w:rPr>
        <w:t>sprünglich</w:t>
      </w:r>
      <w:r>
        <w:rPr>
          <w:spacing w:val="18"/>
        </w:rPr>
        <w:t> </w:t>
      </w:r>
      <w:r>
        <w:rPr/>
        <w:t>wollten</w:t>
      </w:r>
      <w:r>
        <w:rPr>
          <w:spacing w:val="18"/>
        </w:rPr>
        <w:t> </w:t>
      </w:r>
      <w:r>
        <w:rPr/>
        <w:t>die</w:t>
      </w:r>
      <w:r>
        <w:rPr>
          <w:spacing w:val="18"/>
        </w:rPr>
        <w:t> </w:t>
      </w:r>
      <w:r>
        <w:rPr/>
        <w:t>Beamten</w:t>
      </w:r>
      <w:r>
        <w:rPr>
          <w:spacing w:val="18"/>
        </w:rPr>
        <w:t> </w:t>
      </w:r>
      <w:r>
        <w:rPr/>
        <w:t>der</w:t>
      </w:r>
      <w:r>
        <w:rPr>
          <w:spacing w:val="18"/>
        </w:rPr>
        <w:t> </w:t>
      </w:r>
      <w:r>
        <w:rPr>
          <w:spacing w:val="-1"/>
        </w:rPr>
        <w:t>Denk-</w:t>
      </w:r>
      <w:r>
        <w:rPr>
          <w:spacing w:val="30"/>
        </w:rPr>
        <w:t> </w:t>
      </w:r>
      <w:r>
        <w:rPr/>
        <w:t>malpflege </w:t>
      </w:r>
      <w:r>
        <w:rPr>
          <w:spacing w:val="-2"/>
        </w:rPr>
        <w:t>keine</w:t>
      </w:r>
      <w:r>
        <w:rPr/>
        <w:t> </w:t>
      </w:r>
      <w:r>
        <w:rPr>
          <w:spacing w:val="-1"/>
        </w:rPr>
        <w:t>Solaranlage</w:t>
      </w:r>
      <w:r>
        <w:rPr/>
        <w:t> erlauben.</w:t>
      </w:r>
    </w:p>
    <w:p>
      <w:pPr>
        <w:spacing w:line="230" w:lineRule="exact" w:before="0"/>
        <w:ind w:left="16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35398pt;margin-top:53.34309pt;width:507.35pt;height:13.6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0"/>
                    <w:gridCol w:w="3458"/>
                    <w:gridCol w:w="1208"/>
                    <w:gridCol w:w="1023"/>
                    <w:gridCol w:w="452"/>
                    <w:gridCol w:w="606"/>
                  </w:tblGrid>
                  <w:tr>
                    <w:trPr>
                      <w:trHeight w:val="125" w:hRule="exact"/>
                    </w:trPr>
                    <w:tc>
                      <w:tcPr>
                        <w:tcW w:w="685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E</w:t>
                        </w:r>
                        <w:r>
                          <w:rPr>
                            <w:rFonts w:ascii="Theinhardt Regular"/>
                            <w:spacing w:val="4"/>
                            <w:sz w:val="14"/>
                          </w:rPr>
                          <w:t>B</w:t>
                        </w: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F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: </w:t>
                        </w: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2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5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8 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31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17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14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kWh/a</w:t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3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8"/>
                          </w:rPr>
                          <w:t>Die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8"/>
                          </w:rPr>
                          <w:t>thermische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Gesamterzeugung </w:t>
                        </w:r>
                        <w:r>
                          <w:rPr>
                            <w:rFonts w:ascii="Theinhardt Regular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be-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226" w:right="0"/>
                          <w:jc w:val="left"/>
                          <w:rPr>
                            <w:rFonts w:ascii="Theinhardt Regular Italic" w:hAnsi="Theinhardt Regular Italic" w:cs="Theinhardt Regular Italic" w:eastAsia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 Italic"/>
                            <w:i/>
                            <w:spacing w:val="-2"/>
                            <w:sz w:val="18"/>
                          </w:rPr>
                          <w:t>La</w:t>
                        </w:r>
                        <w:r>
                          <w:rPr>
                            <w:rFonts w:ascii="Theinhardt Regular Italic"/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spacing w:val="-2"/>
                            <w:sz w:val="18"/>
                          </w:rPr>
                          <w:t>production</w:t>
                        </w:r>
                        <w:r>
                          <w:rPr>
                            <w:rFonts w:ascii="Theinhardt Regular Italic"/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spacing w:val="-2"/>
                            <w:sz w:val="18"/>
                          </w:rPr>
                          <w:t>thermique</w:t>
                        </w:r>
                        <w:r>
                          <w:rPr>
                            <w:rFonts w:ascii="Theinhardt Regular Italic"/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spacing w:val="-2"/>
                            <w:sz w:val="18"/>
                          </w:rPr>
                          <w:t>totale</w:t>
                        </w:r>
                        <w:r>
                          <w:rPr>
                            <w:rFonts w:ascii="Theinhardt Regular Italic"/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spacing w:val="-1"/>
                            <w:sz w:val="18"/>
                          </w:rPr>
                          <w:t>atteint</w:t>
                        </w:r>
                        <w:r>
                          <w:rPr>
                            <w:rFonts w:ascii="Theinhardt Regular Italic"/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spacing w:val="-1"/>
                            <w:sz w:val="18"/>
                          </w:rPr>
                          <w:t>en-</w:t>
                        </w:r>
                        <w:r>
                          <w:rPr>
                            <w:rFonts w:ascii="Theinhardt Regular Italic"/>
                            <w:sz w:val="18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Heizung: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60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24.2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3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56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8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4"/>
                            <w:szCs w:val="14"/>
                          </w:rPr>
                          <w:t>6’242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 w:hAnsi="Theinhardt Regular"/>
          <w:sz w:val="18"/>
        </w:rPr>
        <w:t>Deshalb</w:t>
      </w:r>
      <w:r>
        <w:rPr>
          <w:rFonts w:ascii="Theinhardt Regular" w:hAnsi="Theinhardt Regular"/>
          <w:spacing w:val="3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wurden</w:t>
      </w:r>
      <w:r>
        <w:rPr>
          <w:rFonts w:ascii="Theinhardt Regular" w:hAnsi="Theinhardt Regular"/>
          <w:spacing w:val="32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3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Sonnenkollektoren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z w:val="18"/>
        </w:rPr>
        <w:t>auf</w:t>
      </w:r>
      <w:r>
        <w:rPr>
          <w:rFonts w:ascii="Theinhardt Regular" w:hAnsi="Theinhardt Regular"/>
          <w:spacing w:val="-1"/>
          <w:sz w:val="18"/>
        </w:rPr>
        <w:t> </w:t>
      </w:r>
      <w:r>
        <w:rPr>
          <w:rFonts w:ascii="Theinhardt Regular" w:hAnsi="Theinhardt Regular"/>
          <w:sz w:val="18"/>
        </w:rPr>
        <w:t>dem</w:t>
      </w:r>
      <w:r>
        <w:rPr>
          <w:rFonts w:ascii="Theinhardt Regular" w:hAnsi="Theinhardt Regular"/>
          <w:spacing w:val="-1"/>
          <w:sz w:val="18"/>
        </w:rPr>
        <w:t> </w:t>
      </w:r>
      <w:r>
        <w:rPr>
          <w:rFonts w:ascii="Theinhardt Regular" w:hAnsi="Theinhardt Regular"/>
          <w:sz w:val="18"/>
        </w:rPr>
        <w:t>Steildach</w:t>
      </w:r>
      <w:r>
        <w:rPr>
          <w:rFonts w:ascii="Theinhardt Regular" w:hAnsi="Theinhardt Regular"/>
          <w:spacing w:val="-1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-1"/>
          <w:sz w:val="18"/>
        </w:rPr>
        <w:t> Naturschiefer-Einde-</w:t>
      </w:r>
      <w:r>
        <w:rPr>
          <w:rFonts w:ascii="Theinhardt Regular" w:hAnsi="Theinhardt Regular"/>
          <w:spacing w:val="3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ckung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z w:val="18"/>
        </w:rPr>
        <w:t>versteckt.</w:t>
      </w:r>
      <w:r>
        <w:rPr>
          <w:rFonts w:ascii="Theinhardt Regular" w:hAnsi="Theinhardt Regular"/>
          <w:spacing w:val="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Dadurch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z w:val="18"/>
        </w:rPr>
        <w:t>ist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Wärmeer-</w:t>
      </w:r>
      <w:r>
        <w:rPr>
          <w:rFonts w:ascii="Theinhardt Regular" w:hAnsi="Theinhardt Regular"/>
          <w:spacing w:val="26"/>
          <w:sz w:val="18"/>
        </w:rPr>
        <w:t> </w:t>
      </w:r>
      <w:r>
        <w:rPr>
          <w:rFonts w:ascii="Theinhardt Regular" w:hAnsi="Theinhardt Regular"/>
          <w:sz w:val="18"/>
        </w:rPr>
        <w:t>zeugung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weniger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effizient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es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muss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ent-</w:t>
      </w:r>
      <w:r>
        <w:rPr>
          <w:rFonts w:ascii="Theinhardt Regular" w:hAnsi="Theinhardt Regular"/>
          <w:spacing w:val="2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sprechend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mehr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Energie</w:t>
      </w:r>
      <w:r>
        <w:rPr>
          <w:rFonts w:ascii="Theinhardt Regular" w:hAnsi="Theinhardt Regular"/>
          <w:sz w:val="18"/>
        </w:rPr>
        <w:t> zugeführt </w:t>
      </w:r>
      <w:r>
        <w:rPr>
          <w:rFonts w:ascii="Theinhardt Regular" w:hAnsi="Theinhardt Regular"/>
          <w:spacing w:val="-1"/>
          <w:sz w:val="18"/>
        </w:rPr>
        <w:t>werden.</w:t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line="230" w:lineRule="exact" w:before="0"/>
        <w:ind w:left="16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trägt </w:t>
      </w:r>
      <w:r>
        <w:rPr>
          <w:rFonts w:ascii="Theinhardt Regular" w:hAnsi="Theinhardt Regular" w:cs="Theinhardt Regular" w:eastAsia="Theinhardt Regular"/>
          <w:sz w:val="18"/>
          <w:szCs w:val="18"/>
        </w:rPr>
        <w:t>etwa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10’000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kWh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Wärme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pro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Jahr.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Sie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wird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für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Warmwassererzeugung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Heizung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entweder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direkt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Solarspei-</w:t>
      </w:r>
    </w:p>
    <w:p>
      <w:pPr>
        <w:pStyle w:val="Heading2"/>
        <w:spacing w:line="230" w:lineRule="exact" w:before="52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2"/>
        </w:rPr>
        <w:t>La</w:t>
      </w:r>
      <w:r>
        <w:rPr>
          <w:spacing w:val="15"/>
        </w:rPr>
        <w:t> </w:t>
      </w:r>
      <w:r>
        <w:rPr>
          <w:spacing w:val="-1"/>
        </w:rPr>
        <w:t>maison</w:t>
      </w:r>
      <w:r>
        <w:rPr>
          <w:spacing w:val="16"/>
        </w:rPr>
        <w:t> </w:t>
      </w:r>
      <w:r>
        <w:rPr>
          <w:spacing w:val="-2"/>
        </w:rPr>
        <w:t>figure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>
          <w:spacing w:val="-1"/>
        </w:rPr>
        <w:t>l’inventaire</w:t>
      </w:r>
      <w:r>
        <w:rPr>
          <w:spacing w:val="16"/>
        </w:rPr>
        <w:t> </w:t>
      </w:r>
      <w:r>
        <w:rPr>
          <w:spacing w:val="-1"/>
        </w:rPr>
        <w:t>cantonal</w:t>
      </w:r>
      <w:r>
        <w:rPr>
          <w:spacing w:val="16"/>
        </w:rPr>
        <w:t> </w:t>
      </w:r>
      <w:r>
        <w:rPr>
          <w:spacing w:val="-1"/>
        </w:rPr>
        <w:t>des</w:t>
      </w:r>
      <w:r>
        <w:rPr>
          <w:spacing w:val="37"/>
        </w:rPr>
        <w:t> </w:t>
      </w:r>
      <w:r>
        <w:rPr>
          <w:spacing w:val="-1"/>
        </w:rPr>
        <w:t>constructions,</w:t>
      </w:r>
      <w:r>
        <w:rPr>
          <w:spacing w:val="28"/>
        </w:rPr>
        <w:t> </w:t>
      </w:r>
      <w:r>
        <w:rPr>
          <w:spacing w:val="-2"/>
        </w:rPr>
        <w:t>avec</w:t>
      </w:r>
      <w:r>
        <w:rPr>
          <w:spacing w:val="36"/>
        </w:rPr>
        <w:t> </w:t>
      </w:r>
      <w:r>
        <w:rPr>
          <w:spacing w:val="-2"/>
        </w:rPr>
        <w:t>le</w:t>
      </w:r>
      <w:r>
        <w:rPr>
          <w:spacing w:val="35"/>
        </w:rPr>
        <w:t> </w:t>
      </w:r>
      <w:r>
        <w:rPr/>
        <w:t>plus</w:t>
      </w:r>
      <w:r>
        <w:rPr>
          <w:spacing w:val="36"/>
        </w:rPr>
        <w:t> </w:t>
      </w:r>
      <w:r>
        <w:rPr/>
        <w:t>haut</w:t>
      </w:r>
      <w:r>
        <w:rPr>
          <w:spacing w:val="36"/>
        </w:rPr>
        <w:t> </w:t>
      </w:r>
      <w:r>
        <w:rPr>
          <w:spacing w:val="-1"/>
        </w:rPr>
        <w:t>niveau</w:t>
      </w:r>
      <w:r>
        <w:rPr>
          <w:spacing w:val="35"/>
        </w:rPr>
        <w:t> </w:t>
      </w:r>
      <w:r>
        <w:rPr>
          <w:spacing w:val="-2"/>
        </w:rPr>
        <w:t>de</w:t>
      </w:r>
      <w:r>
        <w:rPr>
          <w:spacing w:val="37"/>
        </w:rPr>
        <w:t> </w:t>
      </w:r>
      <w:r>
        <w:rPr>
          <w:spacing w:val="-2"/>
        </w:rPr>
        <w:t>protection.</w:t>
      </w:r>
      <w:r>
        <w:rPr>
          <w:spacing w:val="-4"/>
        </w:rPr>
        <w:t> Toute</w:t>
      </w:r>
      <w:r>
        <w:rPr>
          <w:spacing w:val="11"/>
        </w:rPr>
        <w:t> </w:t>
      </w:r>
      <w:r>
        <w:rPr>
          <w:spacing w:val="-1"/>
        </w:rPr>
        <w:t>modification</w:t>
      </w:r>
      <w:r>
        <w:rPr>
          <w:spacing w:val="11"/>
        </w:rPr>
        <w:t> </w:t>
      </w:r>
      <w:r>
        <w:rPr>
          <w:spacing w:val="-1"/>
        </w:rPr>
        <w:t>doit</w:t>
      </w:r>
      <w:r>
        <w:rPr>
          <w:spacing w:val="11"/>
        </w:rPr>
        <w:t> </w:t>
      </w:r>
      <w:r>
        <w:rPr>
          <w:spacing w:val="-2"/>
        </w:rPr>
        <w:t>donc</w:t>
      </w:r>
      <w:r>
        <w:rPr>
          <w:spacing w:val="11"/>
        </w:rPr>
        <w:t> </w:t>
      </w:r>
      <w:r>
        <w:rPr/>
        <w:t>ob-</w:t>
      </w:r>
      <w:r>
        <w:rPr>
          <w:spacing w:val="39"/>
        </w:rPr>
        <w:t> </w:t>
      </w:r>
      <w:r>
        <w:rPr>
          <w:spacing w:val="-1"/>
        </w:rPr>
        <w:t>tenir</w:t>
      </w:r>
      <w:r>
        <w:rPr>
          <w:spacing w:val="6"/>
        </w:rPr>
        <w:t> </w:t>
      </w:r>
      <w:r>
        <w:rPr>
          <w:spacing w:val="-1"/>
        </w:rPr>
        <w:t>l’aval</w:t>
      </w:r>
      <w:r>
        <w:rPr>
          <w:spacing w:val="6"/>
        </w:rPr>
        <w:t> </w:t>
      </w:r>
      <w:r>
        <w:rPr/>
        <w:t>du</w:t>
      </w:r>
      <w:r>
        <w:rPr>
          <w:spacing w:val="6"/>
        </w:rPr>
        <w:t> </w:t>
      </w:r>
      <w:r>
        <w:rPr>
          <w:spacing w:val="-1"/>
        </w:rPr>
        <w:t>service</w:t>
      </w:r>
      <w:r>
        <w:rPr>
          <w:spacing w:val="6"/>
        </w:rPr>
        <w:t> </w:t>
      </w:r>
      <w:r>
        <w:rPr>
          <w:spacing w:val="-1"/>
        </w:rPr>
        <w:t>des</w:t>
      </w:r>
      <w:r>
        <w:rPr>
          <w:spacing w:val="6"/>
        </w:rPr>
        <w:t> </w:t>
      </w:r>
      <w:r>
        <w:rPr>
          <w:spacing w:val="-1"/>
        </w:rPr>
        <w:t>monuments</w:t>
      </w:r>
      <w:r>
        <w:rPr>
          <w:spacing w:val="6"/>
        </w:rPr>
        <w:t> </w:t>
      </w:r>
      <w:r>
        <w:rPr>
          <w:spacing w:val="-1"/>
        </w:rPr>
        <w:t>histo-</w:t>
      </w:r>
      <w:r>
        <w:rPr>
          <w:spacing w:val="25"/>
        </w:rPr>
        <w:t> </w:t>
      </w:r>
      <w:r>
        <w:rPr>
          <w:spacing w:val="-1"/>
        </w:rPr>
        <w:t>riques.</w:t>
      </w:r>
      <w:r>
        <w:rPr>
          <w:spacing w:val="-18"/>
        </w:rPr>
        <w:t> </w:t>
      </w:r>
      <w:r>
        <w:rPr>
          <w:spacing w:val="-1"/>
        </w:rPr>
        <w:t>Ses</w:t>
      </w:r>
      <w:r>
        <w:rPr>
          <w:spacing w:val="-11"/>
        </w:rPr>
        <w:t> </w:t>
      </w:r>
      <w:r>
        <w:rPr>
          <w:spacing w:val="-1"/>
        </w:rPr>
        <w:t>fonctionnaires</w:t>
      </w:r>
      <w:r>
        <w:rPr>
          <w:spacing w:val="-11"/>
        </w:rPr>
        <w:t> </w:t>
      </w:r>
      <w:r>
        <w:rPr/>
        <w:t>ont</w:t>
      </w:r>
      <w:r>
        <w:rPr>
          <w:spacing w:val="-11"/>
        </w:rPr>
        <w:t> </w:t>
      </w:r>
      <w:r>
        <w:rPr>
          <w:spacing w:val="-2"/>
        </w:rPr>
        <w:t>commencé</w:t>
      </w:r>
      <w:r>
        <w:rPr>
          <w:spacing w:val="-11"/>
        </w:rPr>
        <w:t> </w:t>
      </w:r>
      <w:r>
        <w:rPr/>
        <w:t>par</w:t>
      </w:r>
      <w:r>
        <w:rPr>
          <w:spacing w:val="30"/>
        </w:rPr>
        <w:t> </w:t>
      </w:r>
      <w:r>
        <w:rPr>
          <w:spacing w:val="-2"/>
        </w:rPr>
        <w:t>s’opposer</w:t>
      </w:r>
      <w:r>
        <w:rPr/>
        <w:t> à </w:t>
      </w:r>
      <w:r>
        <w:rPr>
          <w:spacing w:val="-2"/>
        </w:rPr>
        <w:t>toute</w:t>
      </w:r>
      <w:r>
        <w:rPr/>
        <w:t> </w:t>
      </w:r>
      <w:r>
        <w:rPr>
          <w:spacing w:val="-1"/>
        </w:rPr>
        <w:t>installation</w:t>
      </w:r>
      <w:r>
        <w:rPr/>
        <w:t> </w:t>
      </w:r>
      <w:r>
        <w:rPr>
          <w:spacing w:val="-1"/>
        </w:rPr>
        <w:t>solaire.</w:t>
      </w:r>
      <w:r>
        <w:rPr>
          <w:i w:val="0"/>
        </w:rPr>
      </w:r>
    </w:p>
    <w:p>
      <w:pPr>
        <w:spacing w:line="230" w:lineRule="exact" w:before="0"/>
        <w:ind w:left="16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C’est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pourquoi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l’ardoise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naturelle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dissi-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mule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capteurs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toiture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forte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pente.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production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chaleur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donc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moins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efficace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faut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davantage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tierce.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40" w:lineRule="auto" w:before="6"/>
        <w:rPr>
          <w:rFonts w:ascii="Theinhardt Regular Italic" w:hAnsi="Theinhardt Regular Italic" w:cs="Theinhardt Regular Italic" w:eastAsia="Theinhardt Regular Italic"/>
          <w:i/>
          <w:sz w:val="17"/>
          <w:szCs w:val="17"/>
        </w:rPr>
      </w:pPr>
    </w:p>
    <w:p>
      <w:pPr>
        <w:spacing w:line="230" w:lineRule="exact" w:before="0"/>
        <w:ind w:left="16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viron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10’000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kWh/a.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Elle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soit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amenée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directement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chauffe-eau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l’eau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chau-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sanitaire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chauffage,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soit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utilisée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pStyle w:val="Heading3"/>
        <w:spacing w:line="240" w:lineRule="auto" w:before="87"/>
        <w:ind w:left="167"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b w:val="0"/>
        </w:rPr>
        <w:br w:type="column"/>
      </w:r>
      <w:r>
        <w:rPr>
          <w:rFonts w:ascii="Theinhardt Black"/>
          <w:b/>
        </w:rPr>
        <w:t>Technische </w:t>
      </w:r>
      <w:r>
        <w:rPr>
          <w:rFonts w:ascii="Theinhardt Black"/>
          <w:b/>
          <w:spacing w:val="1"/>
        </w:rPr>
        <w:t>Daten</w:t>
      </w:r>
      <w:r>
        <w:rPr>
          <w:rFonts w:ascii="Theinhardt Black"/>
          <w:b w:val="0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200"/>
        <w:gridCol w:w="610"/>
        <w:gridCol w:w="411"/>
        <w:gridCol w:w="638"/>
      </w:tblGrid>
      <w:tr>
        <w:trPr>
          <w:trHeight w:val="598" w:hRule="exact"/>
        </w:trPr>
        <w:tc>
          <w:tcPr>
            <w:tcW w:w="1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74" w:val="left" w:leader="none"/>
              </w:tabs>
              <w:spacing w:line="12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Wand:</w:t>
              <w:tab/>
            </w:r>
            <w:r>
              <w:rPr>
                <w:rFonts w:ascii="Theinhardt Regular"/>
                <w:spacing w:val="2"/>
                <w:sz w:val="14"/>
              </w:rPr>
              <w:t>4-5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Dach/Estrich:</w:t>
            </w:r>
            <w:r>
              <w:rPr>
                <w:rFonts w:ascii="Theinhardt Regular"/>
                <w:spacing w:val="26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27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  <w:p>
            <w:pPr>
              <w:pStyle w:val="TableParagraph"/>
              <w:tabs>
                <w:tab w:pos="974" w:val="left" w:leader="none"/>
              </w:tabs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Boden:</w:t>
              <w:tab/>
            </w:r>
            <w:r>
              <w:rPr>
                <w:rFonts w:ascii="Theinhardt Regular"/>
                <w:spacing w:val="-1"/>
                <w:sz w:val="14"/>
              </w:rPr>
              <w:t>23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  <w:p>
            <w:pPr>
              <w:pStyle w:val="TableParagraph"/>
              <w:tabs>
                <w:tab w:pos="974" w:val="left" w:leader="none"/>
              </w:tabs>
              <w:spacing w:line="15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Fenster:</w:t>
              <w:tab/>
              <w:t>dreifach</w:t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0" w:right="0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  <w:p>
            <w:pPr>
              <w:pStyle w:val="TableParagraph"/>
              <w:spacing w:line="207" w:lineRule="auto" w:before="5"/>
              <w:ind w:left="90" w:right="44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  <w:r>
              <w:rPr>
                <w:rFonts w:ascii="Theinhardt Regular"/>
                <w:spacing w:val="25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U-Wert:</w:t>
            </w:r>
            <w:r>
              <w:rPr>
                <w:rFonts w:ascii="Theinhardt Regular"/>
                <w:spacing w:val="25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10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4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0.36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  <w:p>
            <w:pPr>
              <w:pStyle w:val="TableParagraph"/>
              <w:spacing w:line="160" w:lineRule="exact"/>
              <w:ind w:left="26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0.19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  <w:p>
            <w:pPr>
              <w:pStyle w:val="TableParagraph"/>
              <w:spacing w:line="160" w:lineRule="exact"/>
              <w:ind w:left="26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0.19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  <w:p>
            <w:pPr>
              <w:pStyle w:val="TableParagraph"/>
              <w:spacing w:line="158" w:lineRule="exact"/>
              <w:ind w:left="33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1.3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  <w:tr>
        <w:trPr>
          <w:trHeight w:val="222" w:hRule="exact"/>
        </w:trPr>
        <w:tc>
          <w:tcPr>
            <w:tcW w:w="323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49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vor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der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Sanierung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68" w:hRule="exact"/>
        </w:trPr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258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8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Heizung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(inkl.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Holz):</w:t>
            </w:r>
          </w:p>
        </w:tc>
        <w:tc>
          <w:tcPr>
            <w:tcW w:w="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0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153.9</w:t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85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39’700</w:t>
            </w:r>
          </w:p>
        </w:tc>
      </w:tr>
      <w:tr>
        <w:trPr>
          <w:trHeight w:val="160" w:hRule="exact"/>
        </w:trPr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Warmwasser:</w:t>
            </w:r>
          </w:p>
        </w:tc>
        <w:tc>
          <w:tcPr>
            <w:tcW w:w="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14</w:t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8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3"/>
                <w:sz w:val="14"/>
                <w:szCs w:val="14"/>
              </w:rPr>
              <w:t>3’612</w:t>
            </w:r>
          </w:p>
        </w:tc>
      </w:tr>
      <w:tr>
        <w:trPr>
          <w:trHeight w:val="160" w:hRule="exact"/>
        </w:trPr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8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13.8</w:t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7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3’555</w:t>
            </w:r>
          </w:p>
        </w:tc>
      </w:tr>
      <w:tr>
        <w:trPr>
          <w:trHeight w:val="192" w:hRule="exact"/>
        </w:trPr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0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3"/>
                <w:sz w:val="14"/>
              </w:rPr>
              <w:t>181.7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46’867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before="8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nach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pStyle w:val="BodyText"/>
        <w:tabs>
          <w:tab w:pos="1943" w:val="left" w:leader="none"/>
          <w:tab w:pos="2429" w:val="left" w:leader="none"/>
          <w:tab w:pos="2923" w:val="left" w:leader="none"/>
        </w:tabs>
        <w:spacing w:line="172" w:lineRule="exact" w:before="110"/>
        <w:ind w:left="167" w:right="0"/>
        <w:jc w:val="left"/>
      </w:pPr>
      <w:r>
        <w:rPr>
          <w:spacing w:val="1"/>
        </w:rPr>
        <w:t>Warmwasser:</w:t>
        <w:tab/>
      </w:r>
      <w:r>
        <w:rPr>
          <w:w w:val="95"/>
        </w:rPr>
        <w:t>5.2</w:t>
        <w:tab/>
      </w:r>
      <w:r>
        <w:rPr>
          <w:spacing w:val="-4"/>
        </w:rPr>
        <w:t>12</w:t>
        <w:tab/>
      </w:r>
      <w:r>
        <w:rPr>
          <w:spacing w:val="-1"/>
        </w:rPr>
        <w:t>1’330</w:t>
      </w:r>
    </w:p>
    <w:p>
      <w:pPr>
        <w:pStyle w:val="BodyText"/>
        <w:tabs>
          <w:tab w:pos="1877" w:val="left" w:leader="none"/>
          <w:tab w:pos="2423" w:val="left" w:leader="none"/>
          <w:tab w:pos="2919" w:val="left" w:leader="none"/>
        </w:tabs>
        <w:spacing w:line="160" w:lineRule="exact"/>
        <w:ind w:left="167" w:right="0"/>
        <w:jc w:val="left"/>
      </w:pPr>
      <w:r>
        <w:rPr>
          <w:spacing w:val="2"/>
        </w:rPr>
        <w:t>Elektrizität:</w:t>
        <w:tab/>
      </w:r>
      <w:r>
        <w:rPr>
          <w:spacing w:val="-5"/>
        </w:rPr>
        <w:t>13.7</w:t>
        <w:tab/>
      </w:r>
      <w:r>
        <w:rPr>
          <w:spacing w:val="-1"/>
          <w:w w:val="95"/>
        </w:rPr>
        <w:t>32</w:t>
        <w:tab/>
      </w:r>
      <w:r>
        <w:rPr>
          <w:spacing w:val="-1"/>
        </w:rPr>
        <w:t>3’537</w:t>
      </w:r>
    </w:p>
    <w:p>
      <w:pPr>
        <w:pStyle w:val="Heading3"/>
        <w:tabs>
          <w:tab w:pos="1860" w:val="left" w:leader="none"/>
          <w:tab w:pos="2424" w:val="left" w:leader="none"/>
          <w:tab w:pos="2844" w:val="left" w:leader="none"/>
        </w:tabs>
        <w:spacing w:line="172" w:lineRule="exact" w:before="0"/>
        <w:ind w:left="167" w:right="0"/>
        <w:jc w:val="left"/>
        <w:rPr>
          <w:b w:val="0"/>
          <w:bCs w:val="0"/>
        </w:rPr>
      </w:pPr>
      <w:r>
        <w:rPr>
          <w:spacing w:val="2"/>
        </w:rPr>
        <w:t>GesamtEB:</w:t>
        <w:tab/>
      </w:r>
      <w:r>
        <w:rPr>
          <w:spacing w:val="-1"/>
        </w:rPr>
        <w:t>43.1</w:t>
        <w:tab/>
      </w:r>
      <w:r>
        <w:rPr>
          <w:rFonts w:ascii="Theinhardt Regular" w:hAnsi="Theinhardt Regular" w:cs="Theinhardt Regular" w:eastAsia="Theinhardt Regular"/>
          <w:b w:val="0"/>
          <w:bCs w:val="0"/>
          <w:spacing w:val="-2"/>
        </w:rPr>
        <w:t>24</w:t>
        <w:tab/>
      </w:r>
      <w:r>
        <w:rPr>
          <w:spacing w:val="-3"/>
        </w:rPr>
        <w:t>11’109</w:t>
      </w:r>
      <w:r>
        <w:rPr>
          <w:b w:val="0"/>
          <w:bCs w:val="0"/>
        </w:rPr>
      </w:r>
    </w:p>
    <w:p>
      <w:pPr>
        <w:spacing w:before="35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00" w:right="740"/>
          <w:cols w:num="3" w:equalWidth="0">
            <w:col w:w="3513" w:space="59"/>
            <w:col w:w="3513" w:space="58"/>
            <w:col w:w="3627"/>
          </w:cols>
        </w:sect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4"/>
          <w:szCs w:val="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2983"/>
        <w:gridCol w:w="1345"/>
        <w:gridCol w:w="781"/>
        <w:gridCol w:w="652"/>
        <w:gridCol w:w="465"/>
        <w:gridCol w:w="634"/>
      </w:tblGrid>
      <w:tr>
        <w:trPr>
          <w:trHeight w:val="232" w:hRule="exact"/>
        </w:trPr>
        <w:tc>
          <w:tcPr>
            <w:tcW w:w="64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</w:tabs>
              <w:spacing w:line="192" w:lineRule="exact"/>
              <w:ind w:left="55" w:right="-31"/>
              <w:jc w:val="left"/>
              <w:rPr>
                <w:rFonts w:ascii="Theinhardt Regular Italic" w:hAnsi="Theinhardt Regular Italic" w:cs="Theinhardt Regular Italic" w:eastAsia="Theinhardt Regular Italic"/>
                <w:sz w:val="18"/>
                <w:szCs w:val="18"/>
              </w:rPr>
            </w:pPr>
            <w:r>
              <w:rPr>
                <w:rFonts w:ascii="Theinhardt Regular" w:hAnsi="Theinhardt Regular"/>
                <w:sz w:val="18"/>
              </w:rPr>
              <w:t>chertank</w:t>
            </w:r>
            <w:r>
              <w:rPr>
                <w:rFonts w:ascii="Theinhardt Regular" w:hAnsi="Theinhardt Regular"/>
                <w:spacing w:val="-4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geführt</w:t>
            </w:r>
            <w:r>
              <w:rPr>
                <w:rFonts w:ascii="Theinhardt Regular" w:hAnsi="Theinhardt Regular"/>
                <w:spacing w:val="-4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oder</w:t>
            </w:r>
            <w:r>
              <w:rPr>
                <w:rFonts w:ascii="Theinhardt Regular" w:hAnsi="Theinhardt Regular"/>
                <w:spacing w:val="-4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für</w:t>
            </w:r>
            <w:r>
              <w:rPr>
                <w:rFonts w:ascii="Theinhardt Regular" w:hAnsi="Theinhardt Regular"/>
                <w:spacing w:val="-4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die</w:t>
            </w:r>
            <w:r>
              <w:rPr>
                <w:rFonts w:ascii="Theinhardt Regular" w:hAnsi="Theinhardt Regular"/>
                <w:spacing w:val="-4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Unterstützung</w:t>
              <w:tab/>
            </w:r>
            <w:r>
              <w:rPr>
                <w:rFonts w:ascii="Theinhardt Regular Italic" w:hAnsi="Theinhardt Regular Italic"/>
                <w:i/>
                <w:sz w:val="18"/>
              </w:rPr>
              <w:t>la</w:t>
            </w:r>
            <w:r>
              <w:rPr>
                <w:rFonts w:ascii="Theinhardt Regular Italic" w:hAnsi="Theinhardt Regular Italic"/>
                <w:i/>
                <w:spacing w:val="29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z w:val="18"/>
              </w:rPr>
              <w:t>pompe</w:t>
            </w:r>
            <w:r>
              <w:rPr>
                <w:rFonts w:ascii="Theinhardt Regular Italic" w:hAnsi="Theinhardt Regular Italic"/>
                <w:i/>
                <w:spacing w:val="30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z w:val="18"/>
              </w:rPr>
              <w:t>à</w:t>
            </w:r>
            <w:r>
              <w:rPr>
                <w:rFonts w:ascii="Theinhardt Regular Italic" w:hAnsi="Theinhardt Regular Italic"/>
                <w:i/>
                <w:spacing w:val="29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1"/>
                <w:sz w:val="18"/>
              </w:rPr>
              <w:t>chaleur</w:t>
            </w:r>
            <w:r>
              <w:rPr>
                <w:rFonts w:ascii="Theinhardt Regular Italic" w:hAnsi="Theinhardt Regular Italic"/>
                <w:i/>
                <w:spacing w:val="30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z w:val="18"/>
              </w:rPr>
              <w:t>et</w:t>
            </w:r>
            <w:r>
              <w:rPr>
                <w:rFonts w:ascii="Theinhardt Regular Italic" w:hAnsi="Theinhardt Regular Italic"/>
                <w:i/>
                <w:spacing w:val="30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z w:val="18"/>
              </w:rPr>
              <w:t>la</w:t>
            </w:r>
            <w:r>
              <w:rPr>
                <w:rFonts w:ascii="Theinhardt Regular Italic" w:hAnsi="Theinhardt Regular Italic"/>
                <w:i/>
                <w:spacing w:val="29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régénératio</w:t>
            </w:r>
            <w:r>
              <w:rPr>
                <w:rFonts w:ascii="Theinhardt Regular Italic" w:hAnsi="Theinhardt Regular Italic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0" w:val="left" w:leader="none"/>
              </w:tabs>
              <w:spacing w:line="129" w:lineRule="exact"/>
              <w:ind w:left="3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 Italic"/>
                <w:i/>
                <w:position w:val="-7"/>
                <w:sz w:val="18"/>
              </w:rPr>
              <w:t>n</w:t>
            </w:r>
            <w:r>
              <w:rPr>
                <w:rFonts w:ascii="Theinhardt Regular Italic"/>
                <w:i/>
                <w:spacing w:val="29"/>
                <w:position w:val="-7"/>
                <w:sz w:val="18"/>
              </w:rPr>
              <w:t> </w:t>
            </w:r>
            <w:r>
              <w:rPr>
                <w:rFonts w:ascii="Theinhardt Regular Italic"/>
                <w:i/>
                <w:spacing w:val="-1"/>
                <w:position w:val="-7"/>
                <w:sz w:val="18"/>
              </w:rPr>
              <w:t>des</w:t>
              <w:tab/>
            </w:r>
            <w:r>
              <w:rPr>
                <w:rFonts w:ascii="Theinhardt Regular"/>
                <w:spacing w:val="1"/>
                <w:sz w:val="14"/>
              </w:rPr>
              <w:t>Eigen-EV:</w:t>
            </w:r>
          </w:p>
          <w:p>
            <w:pPr>
              <w:pStyle w:val="TableParagraph"/>
              <w:spacing w:line="103" w:lineRule="exact"/>
              <w:ind w:left="70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PV-Dach:</w:t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74" w:right="0" w:hanging="1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m</w:t>
            </w:r>
            <w:r>
              <w:rPr>
                <w:rFonts w:ascii="Theinhardt Regular"/>
                <w:position w:val="5"/>
                <w:sz w:val="8"/>
              </w:rPr>
              <w:t>2   </w:t>
            </w:r>
            <w:r>
              <w:rPr>
                <w:rFonts w:ascii="Theinhardt Regular"/>
                <w:spacing w:val="4"/>
                <w:position w:val="5"/>
                <w:sz w:val="8"/>
              </w:rPr>
              <w:t> </w:t>
            </w:r>
            <w:r>
              <w:rPr>
                <w:rFonts w:ascii="Theinhardt Regular"/>
                <w:sz w:val="14"/>
              </w:rPr>
              <w:t>kWp</w:t>
            </w:r>
          </w:p>
          <w:p>
            <w:pPr>
              <w:pStyle w:val="TableParagraph"/>
              <w:spacing w:line="150" w:lineRule="exact"/>
              <w:ind w:left="7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21</w:t>
            </w:r>
            <w:r>
              <w:rPr>
                <w:rFonts w:ascii="Theinhardt Regular"/>
                <w:sz w:val="14"/>
              </w:rPr>
              <w:t>   </w:t>
            </w:r>
            <w:r>
              <w:rPr>
                <w:rFonts w:ascii="Theinhardt Regular"/>
                <w:spacing w:val="13"/>
                <w:sz w:val="14"/>
              </w:rPr>
              <w:t> </w:t>
            </w:r>
            <w:r>
              <w:rPr>
                <w:rFonts w:ascii="Theinhardt Regular"/>
                <w:spacing w:val="-3"/>
                <w:sz w:val="14"/>
              </w:rPr>
              <w:t>2.7</w:t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-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  <w:p>
            <w:pPr>
              <w:pStyle w:val="TableParagraph"/>
              <w:spacing w:line="150" w:lineRule="exact"/>
              <w:ind w:left="20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152.7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177" w:right="0" w:firstLine="37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  <w:p>
            <w:pPr>
              <w:pStyle w:val="TableParagraph"/>
              <w:spacing w:line="150" w:lineRule="exact"/>
              <w:ind w:left="1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29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208" w:right="0" w:hanging="33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  <w:p>
            <w:pPr>
              <w:pStyle w:val="TableParagraph"/>
              <w:spacing w:line="150" w:lineRule="exact"/>
              <w:ind w:left="2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3’207</w:t>
            </w:r>
          </w:p>
        </w:tc>
      </w:tr>
      <w:tr>
        <w:trPr>
          <w:trHeight w:val="172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 w:hAnsi="Theinhardt Regular"/>
                <w:sz w:val="18"/>
              </w:rPr>
              <w:t>der</w:t>
            </w:r>
            <w:r>
              <w:rPr>
                <w:rFonts w:ascii="Theinhardt Regular" w:hAnsi="Theinhardt Regular"/>
                <w:spacing w:val="-11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Wärmepumpe</w:t>
            </w:r>
            <w:r>
              <w:rPr>
                <w:rFonts w:ascii="Theinhardt Regular" w:hAnsi="Theinhardt Regular"/>
                <w:spacing w:val="-11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und</w:t>
            </w:r>
            <w:r>
              <w:rPr>
                <w:rFonts w:ascii="Theinhardt Regular" w:hAnsi="Theinhardt Regular"/>
                <w:spacing w:val="-11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die</w:t>
            </w:r>
            <w:r>
              <w:rPr>
                <w:rFonts w:ascii="Theinhardt Regular" w:hAnsi="Theinhardt Regular"/>
                <w:spacing w:val="-11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Regeneration</w:t>
            </w:r>
            <w:r>
              <w:rPr>
                <w:rFonts w:ascii="Theinhardt Regular" w:hAnsi="Theinhardt Regular"/>
                <w:spacing w:val="-11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der</w:t>
            </w:r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13" w:right="0"/>
              <w:jc w:val="left"/>
              <w:rPr>
                <w:rFonts w:ascii="Theinhardt Regular Italic" w:hAnsi="Theinhardt Regular Italic" w:cs="Theinhardt Regular Italic" w:eastAsia="Theinhardt Regular Italic"/>
                <w:sz w:val="18"/>
                <w:szCs w:val="18"/>
              </w:rPr>
            </w:pPr>
            <w:r>
              <w:rPr>
                <w:rFonts w:ascii="Theinhardt Regular Italic" w:hAnsi="Theinhardt Regular Italic"/>
                <w:i/>
                <w:spacing w:val="-1"/>
                <w:sz w:val="18"/>
              </w:rPr>
              <w:t>deux</w:t>
            </w:r>
            <w:r>
              <w:rPr>
                <w:rFonts w:ascii="Theinhardt Regular Italic" w:hAnsi="Theinhardt Regular Italic"/>
                <w:i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sondes</w:t>
            </w:r>
            <w:r>
              <w:rPr>
                <w:rFonts w:ascii="Theinhardt Regular Italic" w:hAnsi="Theinhardt Regular Italic"/>
                <w:i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géothermiques.</w:t>
            </w:r>
            <w:r>
              <w:rPr>
                <w:rFonts w:ascii="Theinhardt Regular Italic" w:hAnsi="Theinhardt Regular Italic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70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SK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Dach:</w:t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26</w:t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8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384.6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90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10’000</w:t>
            </w:r>
          </w:p>
        </w:tc>
      </w:tr>
      <w:tr>
        <w:trPr>
          <w:trHeight w:val="197" w:hRule="exact"/>
        </w:trPr>
        <w:tc>
          <w:tcPr>
            <w:tcW w:w="927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53" w:val="left" w:leader="none"/>
                <w:tab w:pos="7198" w:val="left" w:leader="none"/>
              </w:tabs>
              <w:spacing w:line="17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Regular" w:hAnsi="Theinhardt Regular"/>
                <w:sz w:val="18"/>
              </w:rPr>
              <w:t>zwei </w:t>
            </w:r>
            <w:r>
              <w:rPr>
                <w:rFonts w:ascii="Theinhardt Regular" w:hAnsi="Theinhardt Regular"/>
                <w:spacing w:val="-1"/>
                <w:sz w:val="18"/>
              </w:rPr>
              <w:t>Erdwärmesonden</w:t>
            </w:r>
            <w:r>
              <w:rPr>
                <w:rFonts w:ascii="Theinhardt Regular" w:hAnsi="Theinhardt Regular"/>
                <w:sz w:val="18"/>
              </w:rPr>
              <w:t> </w:t>
            </w:r>
            <w:r>
              <w:rPr>
                <w:rFonts w:ascii="Theinhardt Regular" w:hAnsi="Theinhardt Regular"/>
                <w:spacing w:val="1"/>
                <w:sz w:val="18"/>
              </w:rPr>
              <w:t>eingesetzt.</w:t>
              <w:tab/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La</w:t>
            </w:r>
            <w:r>
              <w:rPr>
                <w:rFonts w:ascii="Theinhardt Regular Italic" w:hAnsi="Theinhardt Regular Italic"/>
                <w:i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rénovation</w:t>
            </w:r>
            <w:r>
              <w:rPr>
                <w:rFonts w:ascii="Theinhardt Regular Italic" w:hAnsi="Theinhardt Regular Italic"/>
                <w:i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énergétique</w:t>
            </w:r>
            <w:r>
              <w:rPr>
                <w:rFonts w:ascii="Theinhardt Regular Italic" w:hAnsi="Theinhardt Regular Italic"/>
                <w:i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z w:val="18"/>
              </w:rPr>
              <w:t>du </w:t>
            </w:r>
            <w:r>
              <w:rPr>
                <w:rFonts w:ascii="Theinhardt Regular Italic" w:hAnsi="Theinhardt Regular Italic"/>
                <w:i/>
                <w:spacing w:val="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1"/>
                <w:sz w:val="18"/>
              </w:rPr>
              <w:t>bâtiment</w:t>
              <w:tab/>
            </w:r>
            <w:r>
              <w:rPr>
                <w:rFonts w:ascii="Theinhardt Bold" w:hAnsi="Theinhardt Bold"/>
                <w:b/>
                <w:spacing w:val="1"/>
                <w:position w:val="6"/>
                <w:sz w:val="14"/>
              </w:rPr>
              <w:t>Eigenenergieversorgung:</w:t>
            </w:r>
            <w:r>
              <w:rPr>
                <w:rFonts w:ascii="Theinhardt Bold" w:hAnsi="Theinhardt Bold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7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2</w:t>
            </w:r>
            <w:r>
              <w:rPr>
                <w:rFonts w:ascii="Theinhardt Bold"/>
                <w:b/>
                <w:sz w:val="14"/>
              </w:rPr>
              <w:t>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9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3’207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927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213" w:lineRule="exact" w:before="12"/>
              <w:ind w:left="28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-1"/>
                <w:sz w:val="18"/>
              </w:rPr>
              <w:t>Die</w:t>
            </w:r>
            <w:r>
              <w:rPr>
                <w:rFonts w:ascii="Theinhardt Regular" w:hAnsi="Theinhardt Regular"/>
                <w:sz w:val="18"/>
              </w:rPr>
              <w:t> </w:t>
            </w:r>
            <w:r>
              <w:rPr>
                <w:rFonts w:ascii="Theinhardt Regular" w:hAnsi="Theinhardt Regular"/>
                <w:spacing w:val="16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energetische</w:t>
            </w:r>
            <w:r>
              <w:rPr>
                <w:rFonts w:ascii="Theinhardt Regular" w:hAnsi="Theinhardt Regular"/>
                <w:sz w:val="18"/>
              </w:rPr>
              <w:t> </w:t>
            </w:r>
            <w:r>
              <w:rPr>
                <w:rFonts w:ascii="Theinhardt Regular" w:hAnsi="Theinhardt Regular"/>
                <w:spacing w:val="16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Sanierung </w:t>
            </w:r>
            <w:r>
              <w:rPr>
                <w:rFonts w:ascii="Theinhardt Regular" w:hAnsi="Theinhardt Regular"/>
                <w:spacing w:val="16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des </w:t>
            </w:r>
            <w:r>
              <w:rPr>
                <w:rFonts w:ascii="Theinhardt Regular" w:hAnsi="Theinhardt Regular"/>
                <w:spacing w:val="16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über</w:t>
              <w:tab/>
            </w:r>
            <w:r>
              <w:rPr>
                <w:rFonts w:ascii="Theinhardt Regular Italic" w:hAnsi="Theinhardt Regular Italic"/>
                <w:i/>
                <w:sz w:val="18"/>
              </w:rPr>
              <w:t>plus</w:t>
            </w:r>
            <w:r>
              <w:rPr>
                <w:rFonts w:ascii="Theinhardt Regular Italic" w:hAnsi="Theinhardt Regular Italic"/>
                <w:i/>
                <w:spacing w:val="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que</w:t>
            </w:r>
            <w:r>
              <w:rPr>
                <w:rFonts w:ascii="Theinhardt Regular Italic" w:hAnsi="Theinhardt Regular Italic"/>
                <w:i/>
                <w:spacing w:val="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centenaire</w:t>
            </w:r>
            <w:r>
              <w:rPr>
                <w:rFonts w:ascii="Theinhardt Regular Italic" w:hAnsi="Theinhardt Regular Italic"/>
                <w:i/>
                <w:spacing w:val="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z w:val="18"/>
              </w:rPr>
              <w:t>a</w:t>
            </w:r>
            <w:r>
              <w:rPr>
                <w:rFonts w:ascii="Theinhardt Regular Italic" w:hAnsi="Theinhardt Regular Italic"/>
                <w:i/>
                <w:spacing w:val="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1"/>
                <w:sz w:val="18"/>
              </w:rPr>
              <w:t>réduit</w:t>
            </w:r>
            <w:r>
              <w:rPr>
                <w:rFonts w:ascii="Theinhardt Regular Italic" w:hAnsi="Theinhardt Regular Italic"/>
                <w:i/>
                <w:spacing w:val="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de</w:t>
            </w:r>
            <w:r>
              <w:rPr>
                <w:rFonts w:ascii="Theinhardt Regular Italic" w:hAnsi="Theinhardt Regular Italic"/>
                <w:i/>
                <w:spacing w:val="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z w:val="18"/>
              </w:rPr>
              <w:t>10.6</w:t>
            </w:r>
            <w:r>
              <w:rPr>
                <w:rFonts w:ascii="Theinhardt Regular Italic" w:hAnsi="Theinhardt Regular Italic"/>
                <w:i/>
                <w:spacing w:val="5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tonnes</w:t>
              <w:tab/>
            </w:r>
            <w:r>
              <w:rPr>
                <w:rFonts w:ascii="Theinhardt Bold" w:hAnsi="Theinhardt Bold"/>
                <w:b/>
                <w:spacing w:val="1"/>
                <w:position w:val="7"/>
                <w:sz w:val="14"/>
              </w:rPr>
              <w:t>Energiebilanz</w:t>
            </w:r>
            <w:r>
              <w:rPr>
                <w:rFonts w:ascii="Theinhardt Bold" w:hAnsi="Theinhardt Bold"/>
                <w:b/>
                <w:position w:val="7"/>
                <w:sz w:val="14"/>
              </w:rPr>
              <w:t> </w:t>
            </w:r>
            <w:r>
              <w:rPr>
                <w:rFonts w:ascii="Theinhardt Bold" w:hAnsi="Theinhardt Bold"/>
                <w:b/>
                <w:spacing w:val="1"/>
                <w:position w:val="7"/>
                <w:sz w:val="14"/>
              </w:rPr>
              <w:t>(Endenergie)</w:t>
            </w:r>
            <w:r>
              <w:rPr>
                <w:rFonts w:ascii="Theinhardt Bold" w:hAnsi="Theinhardt Bold"/>
                <w:sz w:val="14"/>
              </w:rPr>
            </w:r>
          </w:p>
          <w:p>
            <w:pPr>
              <w:pStyle w:val="TableParagraph"/>
              <w:spacing w:line="125" w:lineRule="exact"/>
              <w:ind w:right="410"/>
              <w:jc w:val="righ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9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  <w:p>
            <w:pPr>
              <w:pStyle w:val="TableParagraph"/>
              <w:spacing w:line="169" w:lineRule="exact"/>
              <w:ind w:left="17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2</w:t>
            </w:r>
            <w:r>
              <w:rPr>
                <w:rFonts w:ascii="Theinhardt Bold"/>
                <w:b/>
                <w:sz w:val="14"/>
              </w:rPr>
              <w:t>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9"/>
              <w:ind w:left="1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9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3’207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927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position w:val="2"/>
                <w:sz w:val="18"/>
              </w:rPr>
              <w:t>100</w:t>
            </w:r>
            <w:r>
              <w:rPr>
                <w:rFonts w:ascii="Theinhardt Regular" w:hAnsi="Theinhardt Regular"/>
                <w:spacing w:val="39"/>
                <w:position w:val="2"/>
                <w:sz w:val="18"/>
              </w:rPr>
              <w:t> </w:t>
            </w:r>
            <w:r>
              <w:rPr>
                <w:rFonts w:ascii="Theinhardt Regular" w:hAnsi="Theinhardt Regular"/>
                <w:spacing w:val="-2"/>
                <w:position w:val="2"/>
                <w:sz w:val="18"/>
              </w:rPr>
              <w:t>Jahre</w:t>
            </w:r>
            <w:r>
              <w:rPr>
                <w:rFonts w:ascii="Theinhardt Regular" w:hAnsi="Theinhardt Regular"/>
                <w:spacing w:val="40"/>
                <w:position w:val="2"/>
                <w:sz w:val="18"/>
              </w:rPr>
              <w:t> </w:t>
            </w:r>
            <w:r>
              <w:rPr>
                <w:rFonts w:ascii="Theinhardt Regular" w:hAnsi="Theinhardt Regular"/>
                <w:position w:val="2"/>
                <w:sz w:val="18"/>
              </w:rPr>
              <w:t>alten</w:t>
            </w:r>
            <w:r>
              <w:rPr>
                <w:rFonts w:ascii="Theinhardt Regular" w:hAnsi="Theinhardt Regular"/>
                <w:spacing w:val="39"/>
                <w:position w:val="2"/>
                <w:sz w:val="18"/>
              </w:rPr>
              <w:t> </w:t>
            </w:r>
            <w:r>
              <w:rPr>
                <w:rFonts w:ascii="Theinhardt Regular" w:hAnsi="Theinhardt Regular"/>
                <w:position w:val="2"/>
                <w:sz w:val="18"/>
              </w:rPr>
              <w:t>Gebäudes</w:t>
            </w:r>
            <w:r>
              <w:rPr>
                <w:rFonts w:ascii="Theinhardt Regular" w:hAnsi="Theinhardt Regular"/>
                <w:spacing w:val="40"/>
                <w:position w:val="2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position w:val="2"/>
                <w:sz w:val="18"/>
              </w:rPr>
              <w:t>reduzierte</w:t>
            </w:r>
            <w:r>
              <w:rPr>
                <w:rFonts w:ascii="Theinhardt Regular" w:hAnsi="Theinhardt Regular"/>
                <w:spacing w:val="40"/>
                <w:position w:val="2"/>
                <w:sz w:val="18"/>
              </w:rPr>
              <w:t> </w:t>
            </w:r>
            <w:r>
              <w:rPr>
                <w:rFonts w:ascii="Theinhardt Regular" w:hAnsi="Theinhardt Regular"/>
                <w:position w:val="2"/>
                <w:sz w:val="18"/>
              </w:rPr>
              <w:t>die</w:t>
              <w:tab/>
            </w:r>
            <w:r>
              <w:rPr>
                <w:rFonts w:ascii="Theinhardt Regular Italic" w:hAnsi="Theinhardt Regular Italic"/>
                <w:i/>
                <w:spacing w:val="-1"/>
                <w:position w:val="2"/>
                <w:sz w:val="18"/>
              </w:rPr>
              <w:t>les</w:t>
            </w:r>
            <w:r>
              <w:rPr>
                <w:rFonts w:ascii="Theinhardt Regular Italic" w:hAnsi="Theinhardt Regular Italic"/>
                <w:i/>
                <w:spacing w:val="39"/>
                <w:position w:val="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1"/>
                <w:position w:val="2"/>
                <w:sz w:val="18"/>
              </w:rPr>
              <w:t>émissions</w:t>
            </w:r>
            <w:r>
              <w:rPr>
                <w:rFonts w:ascii="Theinhardt Regular Italic" w:hAnsi="Theinhardt Regular Italic"/>
                <w:i/>
                <w:spacing w:val="39"/>
                <w:position w:val="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1"/>
                <w:position w:val="2"/>
                <w:sz w:val="18"/>
              </w:rPr>
              <w:t>annuelles</w:t>
            </w:r>
            <w:r>
              <w:rPr>
                <w:rFonts w:ascii="Theinhardt Regular Italic" w:hAnsi="Theinhardt Regular Italic"/>
                <w:i/>
                <w:spacing w:val="39"/>
                <w:position w:val="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2"/>
                <w:position w:val="2"/>
                <w:sz w:val="18"/>
              </w:rPr>
              <w:t>de</w:t>
            </w:r>
            <w:r>
              <w:rPr>
                <w:rFonts w:ascii="Theinhardt Regular Italic" w:hAnsi="Theinhardt Regular Italic"/>
                <w:i/>
                <w:spacing w:val="39"/>
                <w:position w:val="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1"/>
                <w:position w:val="2"/>
                <w:sz w:val="18"/>
              </w:rPr>
              <w:t>CO</w:t>
            </w:r>
            <w:r>
              <w:rPr>
                <w:rFonts w:ascii="Theinhardt Regular Italic" w:hAnsi="Theinhardt Regular Italic"/>
                <w:i/>
                <w:spacing w:val="-1"/>
                <w:position w:val="-3"/>
                <w:sz w:val="10"/>
              </w:rPr>
              <w:t>2</w:t>
            </w:r>
            <w:r>
              <w:rPr>
                <w:rFonts w:ascii="Theinhardt Regular Italic" w:hAnsi="Theinhardt Regular Italic"/>
                <w:i/>
                <w:spacing w:val="-1"/>
                <w:position w:val="2"/>
                <w:sz w:val="18"/>
              </w:rPr>
              <w:t>.</w:t>
            </w:r>
            <w:r>
              <w:rPr>
                <w:rFonts w:ascii="Theinhardt Regular Italic" w:hAnsi="Theinhardt Regular Italic"/>
                <w:i/>
                <w:spacing w:val="30"/>
                <w:position w:val="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5"/>
                <w:position w:val="2"/>
                <w:sz w:val="18"/>
              </w:rPr>
              <w:t>Le</w:t>
            </w:r>
            <w:r>
              <w:rPr>
                <w:rFonts w:ascii="Theinhardt Regular Italic" w:hAnsi="Theinhardt Regular Italic"/>
                <w:i/>
                <w:spacing w:val="39"/>
                <w:position w:val="2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2"/>
                <w:position w:val="2"/>
                <w:sz w:val="18"/>
              </w:rPr>
              <w:t>projet</w:t>
              <w:tab/>
            </w:r>
            <w:r>
              <w:rPr>
                <w:rFonts w:ascii="Theinhardt Regular" w:hAnsi="Theinhardt Regular"/>
                <w:spacing w:val="2"/>
                <w:sz w:val="14"/>
              </w:rPr>
              <w:t>Gesamtenergiebedarf:</w:t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3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3"/>
                <w:sz w:val="14"/>
                <w:szCs w:val="14"/>
              </w:rPr>
              <w:t>11’109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927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  <w:tab w:pos="7198" w:val="left" w:leader="none"/>
              </w:tabs>
              <w:spacing w:line="22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jährlichen</w:t>
            </w:r>
            <w:r>
              <w:rPr>
                <w:rFonts w:ascii="Theinhardt Regular" w:hAnsi="Theinhardt Regular" w:cs="Theinhardt Regular" w:eastAsia="Theinhardt Regular"/>
                <w:spacing w:val="-14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CO</w:t>
            </w:r>
            <w:r>
              <w:rPr>
                <w:rFonts w:ascii="Theinhardt Regular" w:hAnsi="Theinhardt Regular" w:cs="Theinhardt Regular" w:eastAsia="Theinhardt Regular"/>
                <w:position w:val="-5"/>
                <w:sz w:val="10"/>
                <w:szCs w:val="10"/>
              </w:rPr>
              <w:t>2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-Emissionen</w:t>
            </w:r>
            <w:r>
              <w:rPr>
                <w:rFonts w:ascii="Theinhardt Regular" w:hAnsi="Theinhardt Regular" w:cs="Theinhardt Regular" w:eastAsia="Theinhardt Regular"/>
                <w:spacing w:val="-13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um</w:t>
            </w:r>
            <w:r>
              <w:rPr>
                <w:rFonts w:ascii="Theinhardt Regular" w:hAnsi="Theinhardt Regular" w:cs="Theinhardt Regular" w:eastAsia="Theinhardt Regular"/>
                <w:spacing w:val="-14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10.6</w:t>
            </w:r>
            <w:r>
              <w:rPr>
                <w:rFonts w:ascii="Theinhardt Regular" w:hAnsi="Theinhardt Regular" w:cs="Theinhardt Regular" w:eastAsia="Theinhardt Regular"/>
                <w:spacing w:val="-27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3"/>
                <w:sz w:val="18"/>
                <w:szCs w:val="18"/>
              </w:rPr>
              <w:t>Tonnen.</w:t>
              <w:tab/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2"/>
                <w:sz w:val="18"/>
                <w:szCs w:val="18"/>
              </w:rPr>
              <w:t>montre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3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z w:val="18"/>
                <w:szCs w:val="18"/>
              </w:rPr>
              <w:t>qu’il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3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1"/>
                <w:sz w:val="18"/>
                <w:szCs w:val="18"/>
              </w:rPr>
              <w:t>est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3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1"/>
                <w:sz w:val="18"/>
                <w:szCs w:val="18"/>
              </w:rPr>
              <w:t>possible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3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2"/>
                <w:sz w:val="18"/>
                <w:szCs w:val="18"/>
              </w:rPr>
              <w:t>de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3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1"/>
                <w:sz w:val="18"/>
                <w:szCs w:val="18"/>
              </w:rPr>
              <w:t>diminuer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3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z w:val="18"/>
                <w:szCs w:val="18"/>
              </w:rPr>
              <w:t>la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3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1"/>
                <w:sz w:val="18"/>
                <w:szCs w:val="18"/>
              </w:rPr>
              <w:t>con-</w:t>
              <w:tab/>
            </w:r>
            <w:r>
              <w:rPr>
                <w:rFonts w:ascii="Theinhardt Regular" w:hAnsi="Theinhardt Regular" w:cs="Theinhardt Regular" w:eastAsia="Theinhardt Regular"/>
                <w:spacing w:val="1"/>
                <w:position w:val="5"/>
                <w:sz w:val="14"/>
                <w:szCs w:val="14"/>
              </w:rPr>
              <w:t>Energiezufuhr: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8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71</w:t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1"/>
                <w:sz w:val="14"/>
                <w:szCs w:val="14"/>
              </w:rPr>
              <w:t>7’902</w:t>
            </w:r>
          </w:p>
        </w:tc>
      </w:tr>
    </w:tbl>
    <w:p>
      <w:pPr>
        <w:spacing w:after="0" w:line="164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00" w:right="740"/>
        </w:sectPr>
      </w:pPr>
    </w:p>
    <w:p>
      <w:pPr>
        <w:spacing w:line="232" w:lineRule="auto" w:before="7"/>
        <w:ind w:left="16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1"/>
          <w:sz w:val="18"/>
        </w:rPr>
        <w:t>Das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Projekt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z w:val="18"/>
        </w:rPr>
        <w:t>zeigt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auf,</w:t>
      </w:r>
      <w:r>
        <w:rPr>
          <w:rFonts w:ascii="Theinhardt Regular" w:hAnsi="Theinhardt Regular"/>
          <w:spacing w:val="4"/>
          <w:sz w:val="18"/>
        </w:rPr>
        <w:t> </w:t>
      </w:r>
      <w:r>
        <w:rPr>
          <w:rFonts w:ascii="Theinhardt Regular" w:hAnsi="Theinhardt Regular"/>
          <w:sz w:val="18"/>
        </w:rPr>
        <w:t>welche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Energie-</w:t>
      </w:r>
      <w:r>
        <w:rPr>
          <w:rFonts w:ascii="Theinhardt Regular" w:hAnsi="Theinhardt Regular"/>
          <w:spacing w:val="15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Emissionsreduktionen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selbst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an</w:t>
      </w:r>
      <w:r>
        <w:rPr>
          <w:rFonts w:ascii="Theinhardt Regular" w:hAnsi="Theinhardt Regular"/>
          <w:sz w:val="18"/>
        </w:rPr>
        <w:t> denkmal-</w:t>
      </w:r>
      <w:r>
        <w:rPr>
          <w:rFonts w:ascii="Theinhardt Regular" w:hAnsi="Theinhardt Regular"/>
          <w:spacing w:val="37"/>
          <w:sz w:val="18"/>
        </w:rPr>
        <w:t> </w:t>
      </w:r>
      <w:r>
        <w:rPr>
          <w:rFonts w:ascii="Theinhardt Regular" w:hAnsi="Theinhardt Regular"/>
          <w:sz w:val="18"/>
        </w:rPr>
        <w:t>geschützten</w:t>
      </w:r>
      <w:r>
        <w:rPr>
          <w:rFonts w:ascii="Theinhardt Regular" w:hAnsi="Theinhardt Regular"/>
          <w:spacing w:val="4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Objekten</w:t>
      </w:r>
      <w:r>
        <w:rPr>
          <w:rFonts w:ascii="Theinhardt Regular" w:hAnsi="Theinhardt Regular"/>
          <w:spacing w:val="45"/>
          <w:sz w:val="18"/>
        </w:rPr>
        <w:t> </w:t>
      </w:r>
      <w:r>
        <w:rPr>
          <w:rFonts w:ascii="Theinhardt Regular" w:hAnsi="Theinhardt Regular"/>
          <w:sz w:val="18"/>
        </w:rPr>
        <w:t>möglich</w:t>
      </w:r>
      <w:r>
        <w:rPr>
          <w:rFonts w:ascii="Theinhardt Regular" w:hAnsi="Theinhardt Regular"/>
          <w:spacing w:val="44"/>
          <w:sz w:val="18"/>
        </w:rPr>
        <w:t> </w:t>
      </w:r>
      <w:r>
        <w:rPr>
          <w:rFonts w:ascii="Theinhardt Regular" w:hAnsi="Theinhardt Regular"/>
          <w:sz w:val="18"/>
        </w:rPr>
        <w:t>sind.</w:t>
      </w:r>
      <w:r>
        <w:rPr>
          <w:rFonts w:ascii="Theinhardt Regular" w:hAnsi="Theinhardt Regular"/>
          <w:spacing w:val="34"/>
          <w:sz w:val="18"/>
        </w:rPr>
        <w:t> </w:t>
      </w:r>
      <w:r>
        <w:rPr>
          <w:rFonts w:ascii="Theinhardt Regular" w:hAnsi="Theinhardt Regular"/>
          <w:sz w:val="18"/>
        </w:rPr>
        <w:t>Des-</w:t>
      </w:r>
      <w:r>
        <w:rPr>
          <w:rFonts w:ascii="Theinhardt Regular" w:hAnsi="Theinhardt Regular"/>
          <w:spacing w:val="32"/>
          <w:sz w:val="18"/>
        </w:rPr>
        <w:t> </w:t>
      </w:r>
      <w:r>
        <w:rPr>
          <w:rFonts w:ascii="Theinhardt Regular" w:hAnsi="Theinhardt Regular"/>
          <w:sz w:val="18"/>
        </w:rPr>
        <w:t>halb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wird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EFH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z w:val="18"/>
        </w:rPr>
        <w:t>Hutterli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Röthlisberger</w:t>
      </w:r>
      <w:r>
        <w:rPr>
          <w:rFonts w:ascii="Theinhardt Regular" w:hAnsi="Theinhardt Regular"/>
          <w:spacing w:val="-9"/>
          <w:sz w:val="18"/>
        </w:rPr>
        <w:t> </w:t>
      </w:r>
      <w:r>
        <w:rPr>
          <w:rFonts w:ascii="Theinhardt Regular" w:hAnsi="Theinhardt Regular"/>
          <w:sz w:val="18"/>
        </w:rPr>
        <w:t>mit</w:t>
      </w:r>
      <w:r>
        <w:rPr>
          <w:rFonts w:ascii="Theinhardt Regular" w:hAnsi="Theinhardt Regular"/>
          <w:spacing w:val="42"/>
          <w:sz w:val="18"/>
        </w:rPr>
        <w:t> </w:t>
      </w:r>
      <w:r>
        <w:rPr>
          <w:rFonts w:ascii="Theinhardt Regular" w:hAnsi="Theinhardt Regular"/>
          <w:sz w:val="18"/>
        </w:rPr>
        <w:t>dem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2014</w:t>
      </w:r>
      <w:r>
        <w:rPr>
          <w:rFonts w:ascii="Theinhardt Regular" w:hAnsi="Theinhardt Regular"/>
          <w:spacing w:val="2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ausge-</w:t>
      </w:r>
      <w:r>
        <w:rPr>
          <w:rFonts w:ascii="Theinhardt Regular" w:hAnsi="Theinhardt Regular"/>
          <w:spacing w:val="26"/>
          <w:sz w:val="18"/>
        </w:rPr>
        <w:t> </w:t>
      </w:r>
      <w:r>
        <w:rPr>
          <w:rFonts w:ascii="Theinhardt Regular" w:hAnsi="Theinhardt Regular"/>
          <w:sz w:val="18"/>
        </w:rPr>
        <w:t>zeichnet.</w:t>
      </w:r>
    </w:p>
    <w:p>
      <w:pPr>
        <w:spacing w:line="232" w:lineRule="auto" w:before="7"/>
        <w:ind w:left="16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sommation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émissions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même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édifices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protégés.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conséquent,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maison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Hutterli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Röthlisberger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reçoit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Prix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2014.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160" w:lineRule="exact" w:before="85"/>
        <w:ind w:left="306" w:right="1058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ewb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22.4.2014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031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321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37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10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pStyle w:val="Heading3"/>
        <w:spacing w:line="240" w:lineRule="auto" w:before="0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rFonts w:ascii="Theinhardt Black"/>
          <w:b/>
          <w:spacing w:val="2"/>
        </w:rPr>
        <w:t>Beteiligte</w:t>
      </w:r>
      <w:r>
        <w:rPr>
          <w:rFonts w:ascii="Theinhardt Black"/>
          <w:b/>
        </w:rPr>
        <w:t> </w:t>
      </w:r>
      <w:r>
        <w:rPr>
          <w:rFonts w:ascii="Theinhardt Black"/>
          <w:b/>
          <w:spacing w:val="2"/>
        </w:rPr>
        <w:t>Personen</w:t>
      </w:r>
      <w:r>
        <w:rPr>
          <w:rFonts w:ascii="Theinhardt Black"/>
          <w:b w:val="0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Bauherrschaft,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5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Energiekonzept,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5"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Entwicklung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5"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Na-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turschieferkollektoren,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Adresse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Gebäudes:</w:t>
      </w:r>
      <w:r>
        <w:rPr>
          <w:rFonts w:ascii="Theinhardt Bold" w:hAnsi="Theinhardt Bold"/>
          <w:b/>
          <w:spacing w:val="6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Familie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Hutterli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Röthlisberger</w:t>
      </w:r>
      <w:r>
        <w:rPr>
          <w:rFonts w:ascii="Theinhardt Regular" w:hAnsi="Theinhardt Regular"/>
          <w:sz w:val="14"/>
        </w:rPr>
      </w:r>
    </w:p>
    <w:p>
      <w:pPr>
        <w:pStyle w:val="BodyText"/>
        <w:spacing w:line="165" w:lineRule="exact"/>
        <w:ind w:right="0"/>
        <w:jc w:val="left"/>
      </w:pPr>
      <w:r>
        <w:rPr>
          <w:spacing w:val="2"/>
        </w:rPr>
        <w:t>Luisenstrasse</w:t>
      </w:r>
      <w:r>
        <w:rPr/>
        <w:t> 30, </w:t>
      </w:r>
      <w:r>
        <w:rPr>
          <w:spacing w:val="1"/>
        </w:rPr>
        <w:t>3005</w:t>
      </w:r>
      <w:r>
        <w:rPr/>
        <w:t> </w:t>
      </w:r>
      <w:r>
        <w:rPr>
          <w:spacing w:val="2"/>
        </w:rPr>
        <w:t>Bern</w:t>
      </w:r>
    </w:p>
    <w:p>
      <w:pPr>
        <w:pStyle w:val="BodyText"/>
        <w:spacing w:line="172" w:lineRule="exact"/>
        <w:ind w:right="0"/>
        <w:jc w:val="left"/>
      </w:pPr>
      <w:r>
        <w:rPr>
          <w:spacing w:val="-2"/>
        </w:rPr>
        <w:t>Tel.</w:t>
      </w:r>
      <w:r>
        <w:rPr/>
        <w:t> </w:t>
      </w:r>
      <w:r>
        <w:rPr>
          <w:spacing w:val="-1"/>
        </w:rPr>
        <w:t>031</w:t>
      </w:r>
      <w:r>
        <w:rPr/>
        <w:t> </w:t>
      </w:r>
      <w:r>
        <w:rPr>
          <w:spacing w:val="-1"/>
        </w:rPr>
        <w:t>352</w:t>
      </w:r>
      <w:r>
        <w:rPr/>
        <w:t> </w:t>
      </w:r>
      <w:r>
        <w:rPr>
          <w:spacing w:val="-1"/>
        </w:rPr>
        <w:t>82</w:t>
      </w:r>
      <w:r>
        <w:rPr/>
        <w:t> </w:t>
      </w:r>
      <w:r>
        <w:rPr>
          <w:spacing w:val="-3"/>
        </w:rPr>
        <w:t>1</w:t>
      </w:r>
      <w:hyperlink r:id="rId5">
        <w:r>
          <w:rPr>
            <w:spacing w:val="-3"/>
          </w:rPr>
          <w:t>2,</w:t>
        </w:r>
        <w:r>
          <w:rPr/>
          <w:t> </w:t>
        </w:r>
        <w:r>
          <w:rPr>
            <w:spacing w:val="1"/>
          </w:rPr>
          <w:t>mhutterli@gmail.com</w:t>
        </w:r>
      </w:hyperlink>
    </w:p>
    <w:p>
      <w:pPr>
        <w:pStyle w:val="Heading3"/>
        <w:spacing w:line="172" w:lineRule="exact"/>
        <w:ind w:right="0"/>
        <w:jc w:val="left"/>
        <w:rPr>
          <w:b w:val="0"/>
          <w:bCs w:val="0"/>
        </w:rPr>
      </w:pPr>
      <w:r>
        <w:rPr>
          <w:spacing w:val="2"/>
        </w:rPr>
        <w:t>Architekt</w:t>
      </w:r>
      <w:r>
        <w:rPr/>
        <w:t> </w:t>
      </w:r>
      <w:r>
        <w:rPr>
          <w:spacing w:val="1"/>
        </w:rPr>
        <w:t>und</w:t>
      </w:r>
      <w:r>
        <w:rPr/>
        <w:t> </w:t>
      </w:r>
      <w:r>
        <w:rPr>
          <w:spacing w:val="1"/>
        </w:rPr>
        <w:t>Bauphysik:</w:t>
      </w:r>
      <w:r>
        <w:rPr>
          <w:b w:val="0"/>
        </w:rPr>
      </w:r>
    </w:p>
    <w:p>
      <w:pPr>
        <w:pStyle w:val="BodyText"/>
        <w:spacing w:line="207" w:lineRule="auto" w:before="6"/>
        <w:ind w:right="625"/>
        <w:jc w:val="both"/>
      </w:pPr>
      <w:r>
        <w:rPr>
          <w:spacing w:val="2"/>
        </w:rPr>
        <w:t>Beat</w:t>
      </w:r>
      <w:r>
        <w:rPr/>
        <w:t> </w:t>
      </w:r>
      <w:r>
        <w:rPr>
          <w:spacing w:val="1"/>
        </w:rPr>
        <w:t>Wermuth</w:t>
      </w:r>
      <w:r>
        <w:rPr/>
        <w:t> </w:t>
      </w:r>
      <w:r>
        <w:rPr>
          <w:spacing w:val="1"/>
        </w:rPr>
        <w:t>und</w:t>
      </w:r>
      <w:r>
        <w:rPr/>
        <w:t> </w:t>
      </w:r>
      <w:r>
        <w:rPr>
          <w:spacing w:val="2"/>
        </w:rPr>
        <w:t>Partner</w:t>
      </w:r>
      <w:r>
        <w:rPr/>
        <w:t> </w:t>
      </w:r>
      <w:r>
        <w:rPr>
          <w:spacing w:val="2"/>
        </w:rPr>
        <w:t>Architekten</w:t>
      </w:r>
      <w:r>
        <w:rPr/>
        <w:t> </w:t>
      </w:r>
      <w:r>
        <w:rPr>
          <w:spacing w:val="1"/>
        </w:rPr>
        <w:t>GmbH</w:t>
      </w:r>
      <w:r>
        <w:rPr>
          <w:spacing w:val="26"/>
        </w:rPr>
        <w:t> </w:t>
      </w:r>
      <w:r>
        <w:rPr>
          <w:spacing w:val="-2"/>
        </w:rPr>
        <w:t>B+A</w:t>
      </w:r>
      <w:r>
        <w:rPr/>
        <w:t> </w:t>
      </w:r>
      <w:r>
        <w:rPr>
          <w:spacing w:val="1"/>
        </w:rPr>
        <w:t>Ingenieurbüro</w:t>
      </w:r>
      <w:r>
        <w:rPr/>
        <w:t> </w:t>
      </w:r>
      <w:r>
        <w:rPr>
          <w:spacing w:val="1"/>
        </w:rPr>
        <w:t>für</w:t>
      </w:r>
      <w:r>
        <w:rPr/>
        <w:t> </w:t>
      </w:r>
      <w:r>
        <w:rPr>
          <w:spacing w:val="1"/>
        </w:rPr>
        <w:t>Bauphysik</w:t>
      </w:r>
      <w:r>
        <w:rPr/>
        <w:t> </w:t>
      </w:r>
      <w:r>
        <w:rPr>
          <w:spacing w:val="1"/>
        </w:rPr>
        <w:t>und</w:t>
      </w:r>
      <w:r>
        <w:rPr/>
        <w:t> </w:t>
      </w:r>
      <w:r>
        <w:rPr>
          <w:spacing w:val="2"/>
        </w:rPr>
        <w:t>Akustik</w:t>
      </w:r>
      <w:r>
        <w:rPr>
          <w:spacing w:val="40"/>
        </w:rPr>
        <w:t> </w:t>
      </w:r>
      <w:r>
        <w:rPr>
          <w:spacing w:val="2"/>
        </w:rPr>
        <w:t>Bonstettenstrasse</w:t>
      </w:r>
      <w:r>
        <w:rPr/>
        <w:t> 6b, </w:t>
      </w:r>
      <w:r>
        <w:rPr>
          <w:spacing w:val="-3"/>
        </w:rPr>
        <w:t>3012</w:t>
      </w:r>
      <w:r>
        <w:rPr/>
        <w:t> </w:t>
      </w:r>
      <w:r>
        <w:rPr>
          <w:spacing w:val="2"/>
        </w:rPr>
        <w:t>Bern</w:t>
      </w:r>
    </w:p>
    <w:p>
      <w:pPr>
        <w:pStyle w:val="BodyText"/>
        <w:spacing w:line="167" w:lineRule="exact"/>
        <w:ind w:right="0"/>
        <w:jc w:val="left"/>
      </w:pPr>
      <w:r>
        <w:rPr>
          <w:spacing w:val="-2"/>
        </w:rPr>
        <w:t>Tel.</w:t>
      </w:r>
      <w:r>
        <w:rPr/>
        <w:t> </w:t>
      </w:r>
      <w:r>
        <w:rPr>
          <w:spacing w:val="-1"/>
        </w:rPr>
        <w:t>031</w:t>
      </w:r>
      <w:r>
        <w:rPr/>
        <w:t> </w:t>
      </w:r>
      <w:r>
        <w:rPr>
          <w:spacing w:val="1"/>
        </w:rPr>
        <w:t>305</w:t>
      </w:r>
      <w:r>
        <w:rPr/>
        <w:t> 02 </w:t>
      </w:r>
      <w:r>
        <w:rPr>
          <w:spacing w:val="1"/>
        </w:rPr>
        <w:t>05</w:t>
      </w:r>
    </w:p>
    <w:p>
      <w:pPr>
        <w:pStyle w:val="Heading3"/>
        <w:spacing w:line="172" w:lineRule="exact"/>
        <w:ind w:right="0"/>
        <w:jc w:val="left"/>
        <w:rPr>
          <w:b w:val="0"/>
          <w:bCs w:val="0"/>
        </w:rPr>
      </w:pPr>
      <w:r>
        <w:rPr>
          <w:spacing w:val="1"/>
        </w:rPr>
        <w:t>Planung</w:t>
      </w:r>
      <w:r>
        <w:rPr/>
        <w:t> </w:t>
      </w:r>
      <w:r>
        <w:rPr>
          <w:spacing w:val="1"/>
        </w:rPr>
        <w:t>und</w:t>
      </w:r>
      <w:r>
        <w:rPr/>
        <w:t> </w:t>
      </w:r>
      <w:r>
        <w:rPr>
          <w:spacing w:val="1"/>
        </w:rPr>
        <w:t>Ausführung</w:t>
      </w:r>
      <w:r>
        <w:rPr/>
        <w:t> </w:t>
      </w:r>
      <w:r>
        <w:rPr>
          <w:spacing w:val="1"/>
        </w:rPr>
        <w:t>Heizungsanlage:</w:t>
      </w:r>
      <w:r>
        <w:rPr>
          <w:b w:val="0"/>
        </w:rPr>
      </w:r>
    </w:p>
    <w:p>
      <w:pPr>
        <w:pStyle w:val="BodyText"/>
        <w:spacing w:line="160" w:lineRule="exact"/>
        <w:ind w:right="0"/>
        <w:jc w:val="left"/>
      </w:pPr>
      <w:r>
        <w:rPr>
          <w:spacing w:val="1"/>
        </w:rPr>
        <w:t>Hans</w:t>
      </w:r>
      <w:r>
        <w:rPr/>
        <w:t> </w:t>
      </w:r>
      <w:r>
        <w:rPr>
          <w:spacing w:val="1"/>
        </w:rPr>
        <w:t>Dürig</w:t>
      </w:r>
      <w:r>
        <w:rPr/>
        <w:t> AG, </w:t>
      </w:r>
      <w:r>
        <w:rPr>
          <w:spacing w:val="2"/>
        </w:rPr>
        <w:t>Markus</w:t>
      </w:r>
      <w:r>
        <w:rPr/>
        <w:t> </w:t>
      </w:r>
      <w:r>
        <w:rPr>
          <w:spacing w:val="1"/>
        </w:rPr>
        <w:t>Dürig,</w:t>
      </w:r>
      <w:r>
        <w:rPr/>
        <w:t> </w:t>
      </w:r>
      <w:r>
        <w:rPr>
          <w:spacing w:val="1"/>
        </w:rPr>
        <w:t>Ing.</w:t>
      </w:r>
      <w:r>
        <w:rPr/>
        <w:t> </w:t>
      </w:r>
      <w:r>
        <w:rPr>
          <w:spacing w:val="2"/>
        </w:rPr>
        <w:t>HTL</w:t>
      </w:r>
    </w:p>
    <w:p>
      <w:pPr>
        <w:pStyle w:val="BodyText"/>
        <w:spacing w:line="172" w:lineRule="exact"/>
        <w:ind w:right="0"/>
        <w:jc w:val="left"/>
      </w:pPr>
      <w:r>
        <w:rPr>
          <w:spacing w:val="1"/>
        </w:rPr>
        <w:t>Hintere</w:t>
      </w:r>
      <w:r>
        <w:rPr>
          <w:spacing w:val="-6"/>
        </w:rPr>
        <w:t> </w:t>
      </w:r>
      <w:r>
        <w:rPr>
          <w:spacing w:val="2"/>
        </w:rPr>
        <w:t>Gasse</w:t>
      </w:r>
      <w:r>
        <w:rPr>
          <w:spacing w:val="-6"/>
        </w:rPr>
        <w:t> </w:t>
      </w:r>
      <w:r>
        <w:rPr>
          <w:spacing w:val="-7"/>
        </w:rPr>
        <w:t>11,</w:t>
      </w:r>
      <w:r>
        <w:rPr>
          <w:spacing w:val="-6"/>
        </w:rPr>
        <w:t> </w:t>
      </w:r>
      <w:r>
        <w:rPr>
          <w:spacing w:val="-4"/>
        </w:rPr>
        <w:t>3132</w:t>
      </w:r>
      <w:r>
        <w:rPr>
          <w:spacing w:val="-6"/>
        </w:rPr>
        <w:t> </w:t>
      </w:r>
      <w:r>
        <w:rPr>
          <w:spacing w:val="1"/>
        </w:rPr>
        <w:t>Riggisberg</w:t>
      </w:r>
      <w:r>
        <w:rPr>
          <w:spacing w:val="-6"/>
        </w:rPr>
        <w:t> </w:t>
      </w:r>
      <w:r>
        <w:rPr>
          <w:spacing w:val="-2"/>
        </w:rPr>
        <w:t>Tel.</w:t>
      </w:r>
      <w:r>
        <w:rPr>
          <w:spacing w:val="-6"/>
        </w:rPr>
        <w:t> </w:t>
      </w:r>
      <w:r>
        <w:rPr>
          <w:spacing w:val="-1"/>
        </w:rPr>
        <w:t>031</w:t>
      </w:r>
      <w:r>
        <w:rPr>
          <w:spacing w:val="-6"/>
        </w:rPr>
        <w:t> </w:t>
      </w:r>
      <w:r>
        <w:rPr>
          <w:spacing w:val="1"/>
        </w:rPr>
        <w:t>809</w:t>
      </w:r>
      <w:r>
        <w:rPr>
          <w:spacing w:val="-6"/>
        </w:rPr>
        <w:t> </w:t>
      </w:r>
      <w:r>
        <w:rPr/>
        <w:t>02</w:t>
      </w:r>
      <w:r>
        <w:rPr>
          <w:spacing w:val="-6"/>
        </w:rPr>
        <w:t> </w:t>
      </w:r>
      <w:r>
        <w:rPr>
          <w:spacing w:val="1"/>
        </w:rPr>
        <w:t>50</w:t>
      </w:r>
    </w:p>
    <w:p>
      <w:pPr>
        <w:pStyle w:val="Heading3"/>
        <w:spacing w:line="172" w:lineRule="exact"/>
        <w:ind w:right="0"/>
        <w:jc w:val="left"/>
        <w:rPr>
          <w:b w:val="0"/>
          <w:bCs w:val="0"/>
        </w:rPr>
      </w:pPr>
      <w:r>
        <w:rPr>
          <w:spacing w:val="1"/>
        </w:rPr>
        <w:t>Hybrid</w:t>
      </w:r>
      <w:r>
        <w:rPr/>
        <w:t> </w:t>
      </w:r>
      <w:r>
        <w:rPr>
          <w:spacing w:val="1"/>
        </w:rPr>
        <w:t>Solardachsystem:</w:t>
      </w:r>
      <w:r>
        <w:rPr>
          <w:b w:val="0"/>
        </w:rPr>
      </w:r>
    </w:p>
    <w:p>
      <w:pPr>
        <w:pStyle w:val="BodyText"/>
        <w:spacing w:line="207" w:lineRule="auto" w:before="6"/>
        <w:ind w:right="0"/>
        <w:jc w:val="left"/>
      </w:pPr>
      <w:r>
        <w:rPr>
          <w:spacing w:val="1"/>
        </w:rPr>
        <w:t>Baur</w:t>
      </w:r>
      <w:r>
        <w:rPr/>
        <w:t> &amp; </w:t>
      </w:r>
      <w:r>
        <w:rPr>
          <w:spacing w:val="1"/>
        </w:rPr>
        <w:t>Co</w:t>
      </w:r>
      <w:r>
        <w:rPr/>
        <w:t> </w:t>
      </w:r>
      <w:r>
        <w:rPr>
          <w:spacing w:val="2"/>
        </w:rPr>
        <w:t>Bedachungen/Spenglerei/Solarstrom</w:t>
      </w:r>
      <w:r>
        <w:rPr>
          <w:spacing w:val="26"/>
        </w:rPr>
        <w:t> </w:t>
      </w:r>
      <w:r>
        <w:rPr>
          <w:spacing w:val="3"/>
        </w:rPr>
        <w:t>Staatsstrasse</w:t>
      </w:r>
      <w:r>
        <w:rPr/>
        <w:t> </w:t>
      </w:r>
      <w:r>
        <w:rPr>
          <w:spacing w:val="-1"/>
        </w:rPr>
        <w:t>42,</w:t>
      </w:r>
      <w:r>
        <w:rPr/>
        <w:t> </w:t>
      </w:r>
      <w:r>
        <w:rPr>
          <w:spacing w:val="1"/>
        </w:rPr>
        <w:t>3049</w:t>
      </w:r>
      <w:r>
        <w:rPr/>
        <w:t> </w:t>
      </w:r>
      <w:r>
        <w:rPr>
          <w:spacing w:val="1"/>
        </w:rPr>
        <w:t>Säriswil,</w:t>
      </w:r>
      <w:r>
        <w:rPr/>
        <w:t> </w:t>
      </w:r>
      <w:r>
        <w:rPr>
          <w:spacing w:val="-2"/>
        </w:rPr>
        <w:t>Tel.</w:t>
      </w:r>
      <w:r>
        <w:rPr/>
        <w:t> </w:t>
      </w:r>
      <w:r>
        <w:rPr>
          <w:spacing w:val="-1"/>
        </w:rPr>
        <w:t>031</w:t>
      </w:r>
      <w:r>
        <w:rPr/>
        <w:t> </w:t>
      </w:r>
      <w:r>
        <w:rPr>
          <w:spacing w:val="-1"/>
        </w:rPr>
        <w:t>829</w:t>
      </w:r>
      <w:r>
        <w:rPr/>
        <w:t> </w:t>
      </w:r>
      <w:r>
        <w:rPr>
          <w:spacing w:val="-1"/>
        </w:rPr>
        <w:t>01</w:t>
      </w:r>
      <w:r>
        <w:rPr/>
        <w:t> </w:t>
      </w:r>
      <w:r>
        <w:rPr>
          <w:spacing w:val="-1"/>
        </w:rPr>
        <w:t>92</w:t>
      </w:r>
    </w:p>
    <w:p>
      <w:pPr>
        <w:pStyle w:val="BodyText"/>
        <w:spacing w:line="160" w:lineRule="exact" w:before="49"/>
        <w:ind w:right="1145"/>
        <w:jc w:val="left"/>
      </w:pPr>
      <w:r>
        <w:rPr>
          <w:spacing w:val="1"/>
        </w:rPr>
        <w:t>Meyer</w:t>
      </w:r>
      <w:r>
        <w:rPr/>
        <w:t> </w:t>
      </w:r>
      <w:r>
        <w:rPr>
          <w:spacing w:val="1"/>
        </w:rPr>
        <w:t>Burger</w:t>
      </w:r>
      <w:r>
        <w:rPr/>
        <w:t> AG, </w:t>
      </w:r>
      <w:r>
        <w:rPr>
          <w:spacing w:val="2"/>
        </w:rPr>
        <w:t>PV</w:t>
      </w:r>
      <w:r>
        <w:rPr/>
        <w:t> </w:t>
      </w:r>
      <w:r>
        <w:rPr>
          <w:spacing w:val="1"/>
        </w:rPr>
        <w:t>Systems</w:t>
      </w:r>
      <w:r>
        <w:rPr>
          <w:spacing w:val="26"/>
        </w:rPr>
        <w:t> </w:t>
      </w:r>
      <w:r>
        <w:rPr>
          <w:spacing w:val="2"/>
        </w:rPr>
        <w:t>Schorenstrasse</w:t>
      </w:r>
      <w:r>
        <w:rPr/>
        <w:t> </w:t>
      </w:r>
      <w:r>
        <w:rPr>
          <w:spacing w:val="-1"/>
        </w:rPr>
        <w:t>39,</w:t>
      </w:r>
      <w:r>
        <w:rPr/>
        <w:t> </w:t>
      </w:r>
      <w:r>
        <w:rPr>
          <w:spacing w:val="1"/>
        </w:rPr>
        <w:t>3645</w:t>
      </w:r>
      <w:r>
        <w:rPr/>
        <w:t> </w:t>
      </w:r>
      <w:r>
        <w:rPr>
          <w:spacing w:val="2"/>
        </w:rPr>
        <w:t>Gwatt</w:t>
      </w:r>
    </w:p>
    <w:p>
      <w:pPr>
        <w:pStyle w:val="BodyText"/>
        <w:spacing w:line="177" w:lineRule="exact"/>
        <w:ind w:right="0"/>
        <w:jc w:val="left"/>
      </w:pPr>
      <w:r>
        <w:rPr>
          <w:spacing w:val="-2"/>
        </w:rPr>
        <w:t>Tel.</w:t>
      </w:r>
      <w:r>
        <w:rPr/>
        <w:t> </w:t>
      </w:r>
      <w:r>
        <w:rPr>
          <w:spacing w:val="1"/>
        </w:rPr>
        <w:t>033</w:t>
      </w:r>
      <w:r>
        <w:rPr/>
        <w:t> </w:t>
      </w:r>
      <w:r>
        <w:rPr>
          <w:spacing w:val="-2"/>
        </w:rPr>
        <w:t>221</w:t>
      </w:r>
      <w:r>
        <w:rPr/>
        <w:t> </w:t>
      </w:r>
      <w:r>
        <w:rPr>
          <w:spacing w:val="-2"/>
        </w:rPr>
        <w:t>24</w:t>
      </w:r>
      <w:r>
        <w:rPr/>
        <w:t> 07</w:t>
      </w:r>
    </w:p>
    <w:p>
      <w:pPr>
        <w:pStyle w:val="Heading3"/>
        <w:spacing w:line="172" w:lineRule="exact"/>
        <w:ind w:right="0"/>
        <w:jc w:val="left"/>
        <w:rPr>
          <w:b w:val="0"/>
          <w:bCs w:val="0"/>
        </w:rPr>
      </w:pPr>
      <w:r>
        <w:rPr>
          <w:spacing w:val="1"/>
        </w:rPr>
        <w:t>Naturschieferkollektor:</w:t>
      </w:r>
      <w:r>
        <w:rPr>
          <w:b w:val="0"/>
        </w:rPr>
      </w:r>
    </w:p>
    <w:p>
      <w:pPr>
        <w:pStyle w:val="BodyText"/>
        <w:spacing w:line="160" w:lineRule="exact"/>
        <w:ind w:right="0"/>
        <w:jc w:val="left"/>
      </w:pPr>
      <w:r>
        <w:rPr>
          <w:spacing w:val="1"/>
        </w:rPr>
        <w:t>INNOVAR,</w:t>
      </w:r>
      <w:r>
        <w:rPr/>
        <w:t> </w:t>
      </w:r>
      <w:r>
        <w:rPr>
          <w:spacing w:val="2"/>
        </w:rPr>
        <w:t>Christian</w:t>
      </w:r>
      <w:r>
        <w:rPr/>
        <w:t> </w:t>
      </w:r>
      <w:r>
        <w:rPr>
          <w:spacing w:val="2"/>
        </w:rPr>
        <w:t>Käsermann</w:t>
      </w:r>
      <w:r>
        <w:rPr/>
      </w:r>
    </w:p>
    <w:p>
      <w:pPr>
        <w:pStyle w:val="BodyText"/>
        <w:spacing w:line="172" w:lineRule="exact"/>
        <w:ind w:right="0"/>
        <w:jc w:val="left"/>
      </w:pPr>
      <w:r>
        <w:rPr>
          <w:spacing w:val="1"/>
        </w:rPr>
        <w:t>Route</w:t>
      </w:r>
      <w:r>
        <w:rPr/>
        <w:t> </w:t>
      </w:r>
      <w:r>
        <w:rPr>
          <w:spacing w:val="2"/>
        </w:rPr>
        <w:t>des</w:t>
      </w:r>
      <w:r>
        <w:rPr/>
        <w:t> </w:t>
      </w:r>
      <w:r>
        <w:rPr>
          <w:spacing w:val="2"/>
        </w:rPr>
        <w:t>Genevrés</w:t>
      </w:r>
      <w:r>
        <w:rPr/>
        <w:t> </w:t>
      </w:r>
      <w:r>
        <w:rPr>
          <w:spacing w:val="-1"/>
        </w:rPr>
        <w:t>35,</w:t>
      </w:r>
      <w:r>
        <w:rPr/>
        <w:t> </w:t>
      </w:r>
      <w:r>
        <w:rPr>
          <w:spacing w:val="-3"/>
        </w:rPr>
        <w:t>1784</w:t>
      </w:r>
      <w:r>
        <w:rPr/>
        <w:t> </w:t>
      </w:r>
      <w:r>
        <w:rPr>
          <w:spacing w:val="2"/>
        </w:rPr>
        <w:t>Courtepin</w:t>
      </w:r>
    </w:p>
    <w:p>
      <w:pPr>
        <w:pStyle w:val="BodyText"/>
        <w:spacing w:line="160" w:lineRule="exact" w:before="43"/>
        <w:ind w:right="1058"/>
        <w:jc w:val="left"/>
      </w:pPr>
      <w:r>
        <w:rPr>
          <w:spacing w:val="1"/>
        </w:rPr>
        <w:t>Bill</w:t>
      </w:r>
      <w:r>
        <w:rPr/>
        <w:t> + </w:t>
      </w:r>
      <w:r>
        <w:rPr>
          <w:spacing w:val="1"/>
        </w:rPr>
        <w:t>Künzi</w:t>
      </w:r>
      <w:r>
        <w:rPr/>
        <w:t> AG, </w:t>
      </w:r>
      <w:r>
        <w:rPr>
          <w:spacing w:val="1"/>
        </w:rPr>
        <w:t>Heizung</w:t>
      </w:r>
      <w:r>
        <w:rPr/>
        <w:t> + </w:t>
      </w:r>
      <w:r>
        <w:rPr>
          <w:spacing w:val="1"/>
        </w:rPr>
        <w:t>Sanitär</w:t>
      </w:r>
      <w:r>
        <w:rPr>
          <w:spacing w:val="28"/>
        </w:rPr>
        <w:t> </w:t>
      </w:r>
      <w:r>
        <w:rPr>
          <w:spacing w:val="2"/>
        </w:rPr>
        <w:t>Sportweg</w:t>
      </w:r>
      <w:r>
        <w:rPr/>
        <w:t> 56, 3097 </w:t>
      </w:r>
      <w:r>
        <w:rPr>
          <w:spacing w:val="1"/>
        </w:rPr>
        <w:t>Liebefeld</w:t>
      </w:r>
    </w:p>
    <w:p>
      <w:pPr>
        <w:pStyle w:val="BodyText"/>
        <w:spacing w:line="160" w:lineRule="exact" w:before="60"/>
        <w:ind w:right="1145"/>
        <w:jc w:val="left"/>
      </w:pPr>
      <w:r>
        <w:rPr>
          <w:spacing w:val="1"/>
        </w:rPr>
        <w:t>Kehrli</w:t>
      </w:r>
      <w:r>
        <w:rPr/>
        <w:t> </w:t>
      </w:r>
      <w:r>
        <w:rPr>
          <w:spacing w:val="1"/>
        </w:rPr>
        <w:t>Bedachungen</w:t>
      </w:r>
      <w:r>
        <w:rPr/>
        <w:t> AG</w:t>
      </w:r>
      <w:r>
        <w:rPr>
          <w:spacing w:val="30"/>
        </w:rPr>
        <w:t> </w:t>
      </w:r>
      <w:r>
        <w:rPr>
          <w:spacing w:val="2"/>
        </w:rPr>
        <w:t>Gerberngasse</w:t>
      </w:r>
      <w:r>
        <w:rPr/>
        <w:t> </w:t>
      </w:r>
      <w:r>
        <w:rPr>
          <w:spacing w:val="1"/>
        </w:rPr>
        <w:t>30a,</w:t>
      </w:r>
      <w:r>
        <w:rPr/>
        <w:t> </w:t>
      </w:r>
      <w:r>
        <w:rPr>
          <w:spacing w:val="2"/>
        </w:rPr>
        <w:t>3000</w:t>
      </w:r>
      <w:r>
        <w:rPr/>
        <w:t> </w:t>
      </w:r>
      <w:r>
        <w:rPr>
          <w:spacing w:val="2"/>
        </w:rPr>
        <w:t>Bern</w:t>
      </w:r>
      <w:r>
        <w:rPr/>
        <w:t> </w:t>
      </w:r>
      <w:r>
        <w:rPr>
          <w:spacing w:val="-4"/>
        </w:rPr>
        <w:t>13</w:t>
      </w:r>
    </w:p>
    <w:p>
      <w:pPr>
        <w:spacing w:after="0" w:line="160" w:lineRule="exact"/>
        <w:jc w:val="left"/>
        <w:sectPr>
          <w:type w:val="continuous"/>
          <w:pgSz w:w="11910" w:h="16840"/>
          <w:pgMar w:top="840" w:bottom="280" w:left="400" w:right="740"/>
          <w:cols w:num="3" w:equalWidth="0">
            <w:col w:w="3513" w:space="59"/>
            <w:col w:w="3520" w:space="52"/>
            <w:col w:w="3626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4"/>
          <w:szCs w:val="4"/>
        </w:rPr>
      </w:pPr>
    </w:p>
    <w:p>
      <w:pPr>
        <w:spacing w:line="20" w:lineRule="atLeast"/>
        <w:ind w:left="731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pStyle w:val="BodyText"/>
        <w:spacing w:line="240" w:lineRule="auto" w:before="70"/>
        <w:ind w:right="0"/>
        <w:jc w:val="left"/>
      </w:pPr>
      <w:r>
        <w:rPr>
          <w:rFonts w:ascii="Theinhardt Heavy"/>
          <w:b/>
        </w:rPr>
        <w:t>68    </w:t>
      </w:r>
      <w:r>
        <w:rPr>
          <w:rFonts w:ascii="Theinhardt Heavy"/>
          <w:b/>
          <w:spacing w:val="7"/>
        </w:rPr>
        <w:t> </w:t>
      </w:r>
      <w:r>
        <w:rPr/>
        <w:t>|   </w:t>
      </w:r>
      <w:r>
        <w:rPr>
          <w:spacing w:val="14"/>
        </w:rPr>
        <w:t> </w:t>
      </w: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</w:t>
      </w:r>
      <w:r>
        <w:rPr/>
        <w:t> 2014   </w:t>
      </w:r>
      <w:r>
        <w:rPr>
          <w:spacing w:val="14"/>
        </w:rPr>
        <w:t> </w:t>
      </w:r>
      <w:r>
        <w:rPr/>
        <w:t>|   </w:t>
      </w:r>
      <w:r>
        <w:rPr>
          <w:spacing w:val="14"/>
        </w:rPr>
        <w:t> </w:t>
      </w:r>
      <w:r>
        <w:rPr>
          <w:spacing w:val="-1"/>
        </w:rPr>
        <w:t>Prix</w:t>
      </w:r>
      <w:r>
        <w:rPr/>
        <w:t> </w:t>
      </w:r>
      <w:r>
        <w:rPr>
          <w:spacing w:val="-1"/>
        </w:rPr>
        <w:t>Solaire</w:t>
      </w:r>
      <w:r>
        <w:rPr/>
        <w:t> </w:t>
      </w:r>
      <w:r>
        <w:rPr>
          <w:spacing w:val="-1"/>
        </w:rPr>
        <w:t>Suisse</w:t>
      </w:r>
      <w:r>
        <w:rPr/>
        <w:t> 2014</w:t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280" w:left="40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75987" cy="471830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987" cy="471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line="183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10.448pt;width:524.450pt;height:282.4pt;mso-position-horizontal-relative:page;mso-position-vertical-relative:paragraph;z-index:-11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heinhardt Heavy" w:hAnsi="Theinhardt Heavy" w:cs="Theinhardt Heavy" w:eastAsia="Theinhardt Heavy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309" w:right="0" w:firstLine="0"/>
                    <w:jc w:val="center"/>
                    <w:rPr>
                      <w:rFonts w:ascii="Theinhardt Bold" w:hAnsi="Theinhardt Bold" w:cs="Theinhardt Bold" w:eastAsia="Theinhardt Bold"/>
                      <w:sz w:val="14"/>
                      <w:szCs w:val="14"/>
                    </w:rPr>
                  </w:pPr>
                  <w:r>
                    <w:rPr>
                      <w:rFonts w:ascii="Theinhardt Bold"/>
                      <w:b/>
                      <w:sz w:val="14"/>
                    </w:rPr>
                    <w:t>3</w:t>
                  </w:r>
                  <w:r>
                    <w:rPr>
                      <w:rFonts w:ascii="Theinhardt Bold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656763" cy="358444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763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26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8"/>
          <w:szCs w:val="2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8"/>
          <w:szCs w:val="28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Durch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energetische Sanierung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konnte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Gesamtenergiebedarf von 46’900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um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76% auf 11’100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gesenkt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werden.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78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Eine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hybride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2.7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kWp-PV-Anlage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3’210</w:t>
      </w:r>
      <w:r>
        <w:rPr>
          <w:rFonts w:ascii="Theinhardt Bold" w:hAnsi="Theinhardt Bold" w:cs="Theinhardt Bold" w:eastAsia="Theinhardt Bold"/>
          <w:b/>
          <w:bCs/>
          <w:spacing w:val="3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Strom und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liefert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zusammen 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Naturschieferkollektoren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(Bild 1) rund 10’000</w:t>
      </w:r>
      <w:r>
        <w:rPr>
          <w:rFonts w:ascii="Theinhardt Bold" w:hAnsi="Theinhardt Bold" w:cs="Theinhardt Bold" w:eastAsia="Theinhardt Bold"/>
          <w:b/>
          <w:bCs/>
          <w:spacing w:val="3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Wärme.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241" w:space="330"/>
            <w:col w:w="7139"/>
          </w:cols>
        </w:sect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pStyle w:val="BodyText"/>
        <w:spacing w:line="240" w:lineRule="auto" w:before="70"/>
        <w:ind w:left="6666" w:right="0"/>
        <w:jc w:val="left"/>
        <w:rPr>
          <w:rFonts w:ascii="Theinhardt Heavy" w:hAnsi="Theinhardt Heavy" w:cs="Theinhardt Heavy" w:eastAsia="Theinhardt Heavy"/>
        </w:rPr>
      </w:pP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</w:t>
      </w:r>
      <w:r>
        <w:rPr/>
        <w:t> 2014   </w:t>
      </w:r>
      <w:r>
        <w:rPr>
          <w:spacing w:val="14"/>
        </w:rPr>
        <w:t> </w:t>
      </w:r>
      <w:r>
        <w:rPr/>
        <w:t>|   </w:t>
      </w:r>
      <w:r>
        <w:rPr>
          <w:spacing w:val="14"/>
        </w:rPr>
        <w:t> </w:t>
      </w:r>
      <w:r>
        <w:rPr>
          <w:spacing w:val="-1"/>
        </w:rPr>
        <w:t>Prix</w:t>
      </w:r>
      <w:r>
        <w:rPr/>
        <w:t> </w:t>
      </w:r>
      <w:r>
        <w:rPr>
          <w:spacing w:val="-1"/>
        </w:rPr>
        <w:t>Solaire</w:t>
      </w:r>
      <w:r>
        <w:rPr/>
        <w:t> </w:t>
      </w:r>
      <w:r>
        <w:rPr>
          <w:spacing w:val="-1"/>
        </w:rPr>
        <w:t>Suisse</w:t>
      </w:r>
      <w:r>
        <w:rPr/>
        <w:t> 2014  </w:t>
      </w:r>
      <w:r>
        <w:rPr>
          <w:spacing w:val="14"/>
        </w:rPr>
        <w:t> </w:t>
      </w:r>
      <w:r>
        <w:rPr/>
        <w:t>|   </w:t>
      </w:r>
      <w:r>
        <w:rPr>
          <w:spacing w:val="14"/>
        </w:rPr>
        <w:t> </w:t>
      </w:r>
      <w:r>
        <w:rPr>
          <w:rFonts w:ascii="Theinhardt Heavy"/>
          <w:b/>
        </w:rPr>
        <w:t>69</w:t>
      </w:r>
      <w:r>
        <w:rPr>
          <w:rFonts w:ascii="Theinhardt Heavy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2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7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6"/>
    </w:pPr>
    <w:rPr>
      <w:rFonts w:ascii="Theinhardt Regular" w:hAnsi="Theinhardt Regular" w:eastAsia="Theinhardt Regular"/>
      <w:sz w:val="14"/>
      <w:szCs w:val="14"/>
    </w:rPr>
  </w:style>
  <w:style w:styleId="Heading1" w:type="paragraph">
    <w:name w:val="Heading 1"/>
    <w:basedOn w:val="Normal"/>
    <w:uiPriority w:val="1"/>
    <w:qFormat/>
    <w:pPr>
      <w:ind w:left="166"/>
      <w:outlineLvl w:val="1"/>
    </w:pPr>
    <w:rPr>
      <w:rFonts w:ascii="Theinhardt Regular" w:hAnsi="Theinhardt Regular" w:eastAsia="Theinhardt Regular"/>
      <w:sz w:val="18"/>
      <w:szCs w:val="18"/>
    </w:rPr>
  </w:style>
  <w:style w:styleId="Heading2" w:type="paragraph">
    <w:name w:val="Heading 2"/>
    <w:basedOn w:val="Normal"/>
    <w:uiPriority w:val="1"/>
    <w:qFormat/>
    <w:pPr>
      <w:ind w:left="166"/>
      <w:outlineLvl w:val="2"/>
    </w:pPr>
    <w:rPr>
      <w:rFonts w:ascii="Theinhardt Regular Italic" w:hAnsi="Theinhardt Regular Italic" w:eastAsia="Theinhardt Regular Italic"/>
      <w:i/>
      <w:sz w:val="18"/>
      <w:szCs w:val="18"/>
    </w:rPr>
  </w:style>
  <w:style w:styleId="Heading3" w:type="paragraph">
    <w:name w:val="Heading 3"/>
    <w:basedOn w:val="Normal"/>
    <w:uiPriority w:val="1"/>
    <w:qFormat/>
    <w:pPr>
      <w:spacing w:before="35"/>
      <w:ind w:left="166"/>
      <w:outlineLvl w:val="3"/>
    </w:pPr>
    <w:rPr>
      <w:rFonts w:ascii="Theinhardt Bold" w:hAnsi="Theinhardt Bold" w:eastAsia="Theinhardt Bold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hutterli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2014-09-22T10:05:43Z</dcterms:created>
  <dcterms:modified xsi:type="dcterms:W3CDTF">2014-09-22T10:05:43Z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2014-09-22T00:00:00Z</vt:filetime>
  </property>
</Properties>
</file>