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606" w:val="left" w:leader="none"/>
        </w:tabs>
        <w:spacing w:line="230" w:lineRule="exact" w:before="42"/>
        <w:ind w:left="16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559pt;margin-top:14.347201pt;width:.1pt;height:.1pt;mso-position-horizontal-relative:page;mso-position-vertical-relative:paragraph;z-index:-9520" coordorigin="571,287" coordsize="2,2">
            <v:shape style="position:absolute;left:571;top:287;width:2;height:2" coordorigin="571,287" coordsize="0,0" path="m571,287l571,287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4.347201pt;width:.1pt;height:.1pt;mso-position-horizontal-relative:page;mso-position-vertical-relative:paragraph;z-index:1096" coordorigin="3015,287" coordsize="2,2">
            <v:shape style="position:absolute;left:3015;top:287;width:2;height:2" coordorigin="3015,287" coordsize="0,0" path="m3015,287l3015,287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559pt;margin-top:25.847202pt;width:.1pt;height:.1pt;mso-position-horizontal-relative:page;mso-position-vertical-relative:paragraph;z-index:-9472" coordorigin="571,517" coordsize="2,2">
            <v:shape style="position:absolute;left:571;top:517;width:2;height:2" coordorigin="571,517" coordsize="0,0" path="m571,517l571,517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25.847202pt;width:.1pt;height:.1pt;mso-position-horizontal-relative:page;mso-position-vertical-relative:paragraph;z-index:1144" coordorigin="3015,517" coordsize="2,2">
            <v:shape style="position:absolute;left:3015;top:517;width:2;height:2" coordorigin="3015,517" coordsize="0,0" path="m3015,517l3015,517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              </w:t>
      </w:r>
      <w:r>
        <w:rPr>
          <w:rFonts w:ascii="Theinhardt Black" w:hAnsi="Theinhardt Black"/>
          <w:b/>
          <w:color w:val="231F20"/>
          <w:spacing w:val="17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B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5"/>
          <w:sz w:val="18"/>
        </w:rPr>
        <w:t> </w:t>
      </w:r>
      <w:r>
        <w:rPr>
          <w:rFonts w:ascii="Theinhardt Black" w:hAnsi="Theinhardt Black"/>
          <w:b/>
          <w:color w:val="231F20"/>
          <w:w w:val="95"/>
          <w:sz w:val="18"/>
          <w:u w:val="dotted" w:color="231F20"/>
        </w:rPr>
        <w:t>Gebäude: </w:t>
      </w:r>
      <w:r>
        <w:rPr>
          <w:rFonts w:ascii="Theinhardt Black" w:hAnsi="Theinhardt Black"/>
          <w:b/>
          <w:color w:val="231F20"/>
          <w:spacing w:val="4"/>
          <w:w w:val="95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Sanierungen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         </w:t>
      </w:r>
      <w:r>
        <w:rPr>
          <w:rFonts w:ascii="Theinhardt Black" w:hAnsi="Theinhardt Black"/>
          <w:b/>
          <w:color w:val="231F20"/>
          <w:spacing w:val="-6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pacing w:val="-6"/>
          <w:sz w:val="18"/>
        </w:rPr>
      </w:r>
      <w:r>
        <w:rPr>
          <w:rFonts w:ascii="Theinhardt Black" w:hAnsi="Theinhardt Black"/>
          <w:b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Schweizer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Solarpreis</w:t>
      </w:r>
      <w:r>
        <w:rPr>
          <w:rFonts w:ascii="Theinhardt Regular" w:hAnsi="Theinhardt Regular"/>
          <w:color w:val="231F20"/>
          <w:sz w:val="18"/>
        </w:rPr>
        <w:t> 2015</w:t>
      </w:r>
      <w:r>
        <w:rPr>
          <w:rFonts w:ascii="Theinhardt Regular" w:hAnsi="Theinhardt Regular"/>
          <w:sz w:val="18"/>
        </w:rPr>
      </w:r>
    </w:p>
    <w:p>
      <w:pPr>
        <w:pStyle w:val="BodyText"/>
        <w:spacing w:line="240" w:lineRule="auto" w:before="9"/>
        <w:ind w:right="0"/>
        <w:jc w:val="both"/>
      </w:pPr>
      <w:r>
        <w:rPr>
          <w:color w:val="231F20"/>
          <w:spacing w:val="-1"/>
        </w:rPr>
        <w:t>PlusEnergieBau</w:t>
      </w:r>
      <w:r>
        <w:rPr>
          <w:color w:val="231F20"/>
          <w:spacing w:val="-1"/>
          <w:position w:val="6"/>
          <w:sz w:val="10"/>
        </w:rPr>
        <w:t>®</w:t>
      </w:r>
      <w:r>
        <w:rPr>
          <w:color w:val="231F20"/>
          <w:spacing w:val="-1"/>
        </w:rPr>
        <w:t>-Diplom</w:t>
      </w:r>
      <w:r>
        <w:rPr>
          <w:color w:val="231F20"/>
          <w:spacing w:val="3"/>
        </w:rPr>
        <w:t> </w:t>
      </w:r>
      <w:r>
        <w:rPr>
          <w:color w:val="231F20"/>
        </w:rPr>
        <w:t>2015</w:t>
      </w:r>
      <w:r>
        <w:rPr/>
      </w:r>
    </w:p>
    <w:p>
      <w:pPr>
        <w:spacing w:line="230" w:lineRule="exact" w:before="38"/>
        <w:ind w:left="166" w:right="107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1986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erstellte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Einfamilienhaus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(EFH)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Familie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Gasser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Ormalingen/BL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konsumierte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vor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der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Sanierung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13’600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Dank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umfassenden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Fassaden-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Dachsanierung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sank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Energiebedarf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10’200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Familie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Gasser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integrierte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Dach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27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Ost-West-PV-Anlage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optimal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dach-,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seiten-,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trauf-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firstbündig.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23’100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Auffallend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sind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ästhetisch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ansprechenden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quadratischen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«Solarziegel»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PV-Anlage,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herkömmliche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Dachziegel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ersetzen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Gebäude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besondere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charakteristische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Erschei-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nung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verleihen.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Eigenenergieversorgung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beträgt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225%.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Solarstromüberschuss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12’900 kWh/a kann ein emissionsfreies Solarmobil über zweimal die Welt umrunden.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00" w:right="740"/>
          <w:cols w:num="2" w:equalWidth="0">
            <w:col w:w="2607" w:space="72"/>
            <w:col w:w="809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5"/>
        <w:ind w:left="16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z w:val="40"/>
        </w:rPr>
        <w:t>225%-PEB-EFH-San. Gasser, 4466 Ormalingen/BL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00" w:right="740"/>
        </w:sectPr>
      </w:pPr>
    </w:p>
    <w:p>
      <w:pPr>
        <w:pStyle w:val="BodyText"/>
        <w:spacing w:line="230" w:lineRule="exact" w:before="52"/>
        <w:ind w:right="0"/>
        <w:jc w:val="both"/>
      </w:pPr>
      <w:r>
        <w:rPr>
          <w:color w:val="231F20"/>
        </w:rPr>
        <w:t>Im</w:t>
      </w:r>
      <w:r>
        <w:rPr>
          <w:color w:val="231F20"/>
          <w:spacing w:val="-3"/>
        </w:rPr>
        <w:t> </w:t>
      </w:r>
      <w:r>
        <w:rPr>
          <w:color w:val="231F20"/>
        </w:rPr>
        <w:t>idyllischen</w:t>
      </w:r>
      <w:r>
        <w:rPr>
          <w:color w:val="231F20"/>
          <w:spacing w:val="-3"/>
        </w:rPr>
        <w:t> </w:t>
      </w:r>
      <w:r>
        <w:rPr>
          <w:color w:val="231F20"/>
        </w:rPr>
        <w:t>Dorf</w:t>
      </w:r>
      <w:r>
        <w:rPr>
          <w:color w:val="231F20"/>
          <w:spacing w:val="-3"/>
        </w:rPr>
        <w:t> </w:t>
      </w:r>
      <w:r>
        <w:rPr>
          <w:color w:val="231F20"/>
        </w:rPr>
        <w:t>Ormalingen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Baselland</w:t>
      </w:r>
      <w:r>
        <w:rPr>
          <w:color w:val="231F20"/>
        </w:rPr>
        <w:t> befindet</w:t>
      </w:r>
      <w:r>
        <w:rPr>
          <w:color w:val="231F20"/>
          <w:spacing w:val="17"/>
        </w:rPr>
        <w:t> </w:t>
      </w:r>
      <w:r>
        <w:rPr>
          <w:color w:val="231F20"/>
        </w:rPr>
        <w:t>sich</w:t>
      </w:r>
      <w:r>
        <w:rPr>
          <w:color w:val="231F20"/>
          <w:spacing w:val="17"/>
        </w:rPr>
        <w:t> </w:t>
      </w:r>
      <w:r>
        <w:rPr>
          <w:color w:val="231F20"/>
        </w:rPr>
        <w:t>das</w:t>
      </w:r>
      <w:r>
        <w:rPr>
          <w:color w:val="231F20"/>
          <w:spacing w:val="17"/>
        </w:rPr>
        <w:t> </w:t>
      </w:r>
      <w:r>
        <w:rPr>
          <w:color w:val="231F20"/>
        </w:rPr>
        <w:t>EFH</w:t>
      </w:r>
      <w:r>
        <w:rPr>
          <w:color w:val="231F20"/>
          <w:spacing w:val="17"/>
        </w:rPr>
        <w:t> </w:t>
      </w:r>
      <w:r>
        <w:rPr>
          <w:color w:val="231F20"/>
        </w:rPr>
        <w:t>der</w:t>
      </w:r>
      <w:r>
        <w:rPr>
          <w:color w:val="231F20"/>
          <w:spacing w:val="17"/>
        </w:rPr>
        <w:t> </w:t>
      </w:r>
      <w:r>
        <w:rPr>
          <w:color w:val="231F20"/>
        </w:rPr>
        <w:t>Familie</w:t>
      </w:r>
      <w:r>
        <w:rPr>
          <w:color w:val="231F20"/>
          <w:spacing w:val="17"/>
        </w:rPr>
        <w:t> </w:t>
      </w:r>
      <w:r>
        <w:rPr>
          <w:color w:val="231F20"/>
        </w:rPr>
        <w:t>Gasser.</w:t>
      </w:r>
      <w:r>
        <w:rPr>
          <w:color w:val="231F20"/>
        </w:rPr>
        <w:t> Aufgrund</w:t>
      </w:r>
      <w:r>
        <w:rPr>
          <w:color w:val="231F20"/>
          <w:spacing w:val="27"/>
        </w:rPr>
        <w:t> </w:t>
      </w:r>
      <w:r>
        <w:rPr>
          <w:color w:val="231F20"/>
        </w:rPr>
        <w:t>sichtbarer</w:t>
      </w:r>
      <w:r>
        <w:rPr>
          <w:color w:val="231F20"/>
          <w:spacing w:val="28"/>
        </w:rPr>
        <w:t> </w:t>
      </w:r>
      <w:r>
        <w:rPr>
          <w:color w:val="231F20"/>
        </w:rPr>
        <w:t>Wettereinflüsse</w:t>
      </w:r>
      <w:r>
        <w:rPr>
          <w:color w:val="231F20"/>
          <w:spacing w:val="27"/>
        </w:rPr>
        <w:t> </w:t>
      </w:r>
      <w:r>
        <w:rPr>
          <w:color w:val="231F20"/>
        </w:rPr>
        <w:t>und</w:t>
      </w:r>
      <w:r>
        <w:rPr>
          <w:color w:val="231F20"/>
        </w:rPr>
        <w:t> Abnutzungen</w:t>
      </w:r>
      <w:r>
        <w:rPr>
          <w:color w:val="231F20"/>
          <w:spacing w:val="32"/>
        </w:rPr>
        <w:t> </w:t>
      </w:r>
      <w:r>
        <w:rPr>
          <w:color w:val="231F20"/>
        </w:rPr>
        <w:t>der</w:t>
      </w:r>
      <w:r>
        <w:rPr>
          <w:color w:val="231F20"/>
          <w:spacing w:val="33"/>
        </w:rPr>
        <w:t> </w:t>
      </w:r>
      <w:r>
        <w:rPr>
          <w:color w:val="231F20"/>
        </w:rPr>
        <w:t>Gebäudehülle</w:t>
      </w:r>
      <w:r>
        <w:rPr>
          <w:color w:val="231F20"/>
          <w:spacing w:val="32"/>
        </w:rPr>
        <w:t> </w:t>
      </w:r>
      <w:r>
        <w:rPr>
          <w:color w:val="231F20"/>
        </w:rPr>
        <w:t>entschied</w:t>
      </w:r>
      <w:r>
        <w:rPr>
          <w:color w:val="231F20"/>
        </w:rPr>
        <w:t> sich</w:t>
      </w:r>
      <w:r>
        <w:rPr>
          <w:color w:val="231F20"/>
          <w:spacing w:val="13"/>
        </w:rPr>
        <w:t> </w:t>
      </w:r>
      <w:r>
        <w:rPr>
          <w:color w:val="231F20"/>
        </w:rPr>
        <w:t>die</w:t>
      </w:r>
      <w:r>
        <w:rPr>
          <w:color w:val="231F20"/>
          <w:spacing w:val="13"/>
        </w:rPr>
        <w:t> </w:t>
      </w:r>
      <w:r>
        <w:rPr>
          <w:color w:val="231F20"/>
        </w:rPr>
        <w:t>Familie</w:t>
      </w:r>
      <w:r>
        <w:rPr>
          <w:color w:val="231F20"/>
          <w:spacing w:val="13"/>
        </w:rPr>
        <w:t> </w:t>
      </w:r>
      <w:r>
        <w:rPr>
          <w:color w:val="231F20"/>
        </w:rPr>
        <w:t>Gasser</w:t>
      </w:r>
      <w:r>
        <w:rPr>
          <w:color w:val="231F20"/>
          <w:spacing w:val="14"/>
        </w:rPr>
        <w:t> </w:t>
      </w:r>
      <w:r>
        <w:rPr>
          <w:color w:val="231F20"/>
        </w:rPr>
        <w:t>2012</w:t>
      </w:r>
      <w:r>
        <w:rPr>
          <w:color w:val="231F20"/>
          <w:spacing w:val="13"/>
        </w:rPr>
        <w:t> </w:t>
      </w:r>
      <w:r>
        <w:rPr>
          <w:color w:val="231F20"/>
        </w:rPr>
        <w:t>für</w:t>
      </w:r>
      <w:r>
        <w:rPr>
          <w:color w:val="231F20"/>
          <w:spacing w:val="14"/>
        </w:rPr>
        <w:t> </w:t>
      </w:r>
      <w:r>
        <w:rPr>
          <w:color w:val="231F20"/>
        </w:rPr>
        <w:t>eine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um-</w:t>
      </w:r>
      <w:r>
        <w:rPr/>
      </w:r>
    </w:p>
    <w:p>
      <w:pPr>
        <w:spacing w:line="230" w:lineRule="exact" w:before="52"/>
        <w:ind w:left="16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maison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famille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Gasser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trou-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village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d’Ormalingen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(BL).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L’altération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visible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bâtiment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l’usure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enveloppe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amené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Gasser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entreprendre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rénovation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complète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tabs>
          <w:tab w:pos="3498" w:val="left" w:leader="none"/>
        </w:tabs>
        <w:spacing w:before="73"/>
        <w:ind w:left="16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</w:r>
      <w:r>
        <w:rPr>
          <w:rFonts w:ascii="Theinhardt Black"/>
          <w:b/>
          <w:color w:val="231F20"/>
          <w:sz w:val="14"/>
          <w:u w:val="dotted" w:color="231F20"/>
        </w:rPr>
        <w:t>Technische </w:t>
      </w:r>
      <w:r>
        <w:rPr>
          <w:rFonts w:ascii="Theinhardt Black"/>
          <w:b/>
          <w:color w:val="231F20"/>
          <w:spacing w:val="1"/>
          <w:sz w:val="14"/>
          <w:u w:val="dotted" w:color="231F20"/>
        </w:rPr>
        <w:t>Daten</w:t>
      </w:r>
      <w:r>
        <w:rPr>
          <w:rFonts w:ascii="Theinhardt Black"/>
          <w:b/>
          <w:color w:val="231F20"/>
          <w:sz w:val="14"/>
          <w:u w:val="dotted" w:color="231F20"/>
        </w:rPr>
        <w:t> </w:t>
        <w:tab/>
      </w:r>
      <w:r>
        <w:rPr>
          <w:rFonts w:ascii="Theinhardt Black"/>
          <w:b/>
          <w:color w:val="231F20"/>
          <w:sz w:val="14"/>
        </w:rPr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tabs>
          <w:tab w:pos="3503" w:val="left" w:leader="none"/>
        </w:tabs>
        <w:spacing w:line="20" w:lineRule="atLeast"/>
        <w:ind w:left="16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  <w:r>
        <w:rPr>
          <w:rFonts w:ascii="Theinhardt Black"/>
          <w:sz w:val="2"/>
        </w:rPr>
        <w:tab/>
      </w: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</w:p>
    <w:p>
      <w:pPr>
        <w:spacing w:line="172" w:lineRule="exact" w:before="66"/>
        <w:ind w:left="16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376" w:val="left" w:leader="none"/>
        </w:tabs>
        <w:spacing w:line="160" w:lineRule="exact" w:before="0"/>
        <w:ind w:left="16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  <w:t>30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</w:t>
      </w:r>
      <w:r>
        <w:rPr>
          <w:rFonts w:ascii="Theinhardt Regular"/>
          <w:color w:val="231F20"/>
          <w:spacing w:val="15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379" w:val="left" w:leader="none"/>
        </w:tabs>
        <w:spacing w:line="160" w:lineRule="exact" w:before="0"/>
        <w:ind w:left="16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Dach:</w:t>
        <w:tab/>
      </w:r>
      <w:r>
        <w:rPr>
          <w:rFonts w:ascii="Theinhardt Regular"/>
          <w:color w:val="231F20"/>
          <w:spacing w:val="-1"/>
          <w:sz w:val="14"/>
        </w:rPr>
        <w:t>26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</w:t>
      </w:r>
      <w:r>
        <w:rPr>
          <w:rFonts w:ascii="Theinhardt Regular"/>
          <w:color w:val="231F20"/>
          <w:spacing w:val="15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261" w:val="left" w:leader="none"/>
          <w:tab w:pos="2637" w:val="left" w:leader="none"/>
        </w:tabs>
        <w:spacing w:line="207" w:lineRule="auto" w:before="5"/>
        <w:ind w:left="166" w:right="33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Boden:</w:t>
        <w:tab/>
      </w:r>
      <w:r>
        <w:rPr>
          <w:rFonts w:ascii="Theinhardt Regular"/>
          <w:color w:val="231F20"/>
          <w:spacing w:val="-4"/>
          <w:sz w:val="14"/>
        </w:rPr>
        <w:t>16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0.21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color w:val="231F20"/>
          <w:spacing w:val="22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Fenster:</w:t>
        <w:tab/>
        <w:t>dreifach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5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  <w:tab/>
      </w:r>
      <w:r>
        <w:rPr>
          <w:rFonts w:ascii="Theinhardt Regular"/>
          <w:color w:val="231F20"/>
          <w:spacing w:val="-7"/>
          <w:sz w:val="14"/>
        </w:rPr>
        <w:t>1.1</w:t>
      </w:r>
      <w:r>
        <w:rPr>
          <w:rFonts w:ascii="Theinhardt Regular"/>
          <w:color w:val="231F20"/>
          <w:spacing w:val="1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spacing w:after="0" w:line="207" w:lineRule="auto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00" w:right="740"/>
          <w:cols w:num="3" w:equalWidth="0">
            <w:col w:w="3512" w:space="59"/>
            <w:col w:w="3513" w:space="59"/>
            <w:col w:w="3627"/>
          </w:cols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2"/>
          <w:szCs w:val="2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3"/>
        <w:gridCol w:w="3572"/>
        <w:gridCol w:w="1447"/>
        <w:gridCol w:w="754"/>
        <w:gridCol w:w="463"/>
        <w:gridCol w:w="624"/>
      </w:tblGrid>
      <w:tr>
        <w:trPr>
          <w:trHeight w:val="197" w:hRule="exact"/>
        </w:trPr>
        <w:tc>
          <w:tcPr>
            <w:tcW w:w="10373" w:type="dxa"/>
            <w:gridSpan w:val="6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626" w:val="left" w:leader="none"/>
                <w:tab w:pos="7198" w:val="left" w:leader="none"/>
              </w:tabs>
              <w:spacing w:line="197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z w:val="18"/>
              </w:rPr>
              <w:t>fassende </w:t>
            </w:r>
            <w:r>
              <w:rPr>
                <w:rFonts w:ascii="Theinhardt Regular" w:hAnsi="Theinhardt Regular"/>
                <w:color w:val="231F20"/>
                <w:spacing w:val="18"/>
                <w:sz w:val="18"/>
              </w:rPr>
              <w:t> </w:t>
            </w:r>
            <w:r>
              <w:rPr>
                <w:rFonts w:ascii="Theinhardt Regular" w:hAnsi="Theinhardt Regular"/>
                <w:color w:val="231F20"/>
                <w:sz w:val="18"/>
              </w:rPr>
              <w:t>Fassaden- </w:t>
            </w:r>
            <w:r>
              <w:rPr>
                <w:rFonts w:ascii="Theinhardt Regular" w:hAnsi="Theinhardt Regular"/>
                <w:color w:val="231F20"/>
                <w:spacing w:val="18"/>
                <w:sz w:val="18"/>
              </w:rPr>
              <w:t> </w:t>
            </w:r>
            <w:r>
              <w:rPr>
                <w:rFonts w:ascii="Theinhardt Regular" w:hAnsi="Theinhardt Regular"/>
                <w:color w:val="231F20"/>
                <w:sz w:val="18"/>
              </w:rPr>
              <w:t>und </w:t>
            </w:r>
            <w:r>
              <w:rPr>
                <w:rFonts w:ascii="Theinhardt Regular" w:hAnsi="Theinhardt Regular"/>
                <w:color w:val="231F20"/>
                <w:spacing w:val="18"/>
                <w:sz w:val="18"/>
              </w:rPr>
              <w:t> </w:t>
            </w:r>
            <w:r>
              <w:rPr>
                <w:rFonts w:ascii="Theinhardt Regular" w:hAnsi="Theinhardt Regular"/>
                <w:color w:val="231F20"/>
                <w:sz w:val="18"/>
              </w:rPr>
              <w:t>Dachsanierung.</w:t>
              <w:tab/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façades</w:t>
            </w:r>
            <w:r>
              <w:rPr>
                <w:rFonts w:ascii="Theinhardt Regular Italic" w:hAnsi="Theinhardt Regular Italic"/>
                <w:i/>
                <w:color w:val="231F20"/>
                <w:spacing w:val="1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et</w:t>
            </w:r>
            <w:r>
              <w:rPr>
                <w:rFonts w:ascii="Theinhardt Regular Italic" w:hAnsi="Theinhardt Regular Italic"/>
                <w:i/>
                <w:color w:val="231F20"/>
                <w:spacing w:val="1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du</w:t>
            </w:r>
            <w:r>
              <w:rPr>
                <w:rFonts w:ascii="Theinhardt Regular Italic" w:hAnsi="Theinhardt Regular Italic"/>
                <w:i/>
                <w:color w:val="231F20"/>
                <w:spacing w:val="1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toit</w:t>
            </w:r>
            <w:r>
              <w:rPr>
                <w:rFonts w:ascii="Theinhardt Regular Italic" w:hAnsi="Theinhardt Regular Italic"/>
                <w:i/>
                <w:color w:val="231F20"/>
                <w:spacing w:val="1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en</w:t>
            </w:r>
            <w:r>
              <w:rPr>
                <w:rFonts w:ascii="Theinhardt Regular Italic" w:hAnsi="Theinhardt Regular Italic"/>
                <w:i/>
                <w:color w:val="231F20"/>
                <w:spacing w:val="1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2012.</w:t>
            </w:r>
            <w:r>
              <w:rPr>
                <w:rFonts w:ascii="Theinhardt Regular Italic" w:hAnsi="Theinhardt Regular Italic"/>
                <w:i/>
                <w:color w:val="231F20"/>
                <w:spacing w:val="1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Ils</w:t>
            </w:r>
            <w:r>
              <w:rPr>
                <w:rFonts w:ascii="Theinhardt Regular Italic" w:hAnsi="Theinhardt Regular Italic"/>
                <w:i/>
                <w:color w:val="231F20"/>
                <w:spacing w:val="1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ont</w:t>
            </w:r>
            <w:r>
              <w:rPr>
                <w:rFonts w:ascii="Theinhardt Regular Italic" w:hAnsi="Theinhardt Regular Italic"/>
                <w:i/>
                <w:color w:val="231F20"/>
                <w:spacing w:val="1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fait</w:t>
            </w:r>
            <w:r>
              <w:rPr>
                <w:rFonts w:ascii="Theinhardt Regular Italic" w:hAnsi="Theinhardt Regular Italic"/>
                <w:i/>
                <w:color w:val="231F20"/>
                <w:spacing w:val="1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poser</w:t>
              <w:tab/>
            </w:r>
            <w:r>
              <w:rPr>
                <w:rFonts w:ascii="Theinhardt Bold" w:hAnsi="Theinhardt Bold"/>
                <w:b/>
                <w:color w:val="231F20"/>
                <w:spacing w:val="2"/>
                <w:sz w:val="14"/>
              </w:rPr>
              <w:t>Energiebedarf</w:t>
            </w:r>
            <w:r>
              <w:rPr>
                <w:rFonts w:ascii="Theinhardt Bold" w:hAns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vor</w:t>
            </w:r>
            <w:r>
              <w:rPr>
                <w:rFonts w:ascii="Theinhardt Bold" w:hAns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Sanierung</w:t>
            </w:r>
            <w:r>
              <w:rPr>
                <w:rFonts w:ascii="Theinhardt Bold" w:hAns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 w:hAnsi="Theinhardt Bold"/>
                <w:b/>
                <w:color w:val="231F20"/>
                <w:spacing w:val="-1"/>
                <w:sz w:val="14"/>
              </w:rPr>
              <w:t>[100%]</w:t>
            </w:r>
            <w:r>
              <w:rPr>
                <w:rFonts w:ascii="Theinhardt Bold" w:hAnsi="Theinhardt Bold"/>
                <w:sz w:val="14"/>
              </w:rPr>
            </w:r>
          </w:p>
        </w:tc>
      </w:tr>
      <w:tr>
        <w:trPr>
          <w:trHeight w:val="153" w:hRule="exact"/>
        </w:trPr>
        <w:tc>
          <w:tcPr>
            <w:tcW w:w="8532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626" w:val="left" w:leader="none"/>
                <w:tab w:pos="7198" w:val="left" w:leader="none"/>
              </w:tabs>
              <w:spacing w:line="153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/>
                <w:color w:val="231F20"/>
                <w:sz w:val="18"/>
              </w:rPr>
              <w:t>Auf</w:t>
            </w:r>
            <w:r>
              <w:rPr>
                <w:rFonts w:ascii="Theinhardt Regular"/>
                <w:color w:val="231F20"/>
                <w:spacing w:val="31"/>
                <w:sz w:val="18"/>
              </w:rPr>
              <w:t> </w:t>
            </w:r>
            <w:r>
              <w:rPr>
                <w:rFonts w:ascii="Theinhardt Regular"/>
                <w:color w:val="231F20"/>
                <w:sz w:val="18"/>
              </w:rPr>
              <w:t>dem</w:t>
            </w:r>
            <w:r>
              <w:rPr>
                <w:rFonts w:ascii="Theinhardt Regular"/>
                <w:color w:val="231F20"/>
                <w:spacing w:val="32"/>
                <w:sz w:val="18"/>
              </w:rPr>
              <w:t> </w:t>
            </w:r>
            <w:r>
              <w:rPr>
                <w:rFonts w:ascii="Theinhardt Regular"/>
                <w:color w:val="231F20"/>
                <w:sz w:val="18"/>
              </w:rPr>
              <w:t>Dach</w:t>
            </w:r>
            <w:r>
              <w:rPr>
                <w:rFonts w:ascii="Theinhardt Regular"/>
                <w:color w:val="231F20"/>
                <w:spacing w:val="31"/>
                <w:sz w:val="18"/>
              </w:rPr>
              <w:t> </w:t>
            </w:r>
            <w:r>
              <w:rPr>
                <w:rFonts w:ascii="Theinhardt Regular"/>
                <w:color w:val="231F20"/>
                <w:sz w:val="18"/>
              </w:rPr>
              <w:t>installierte</w:t>
            </w:r>
            <w:r>
              <w:rPr>
                <w:rFonts w:ascii="Theinhardt Regular"/>
                <w:color w:val="231F20"/>
                <w:spacing w:val="32"/>
                <w:sz w:val="18"/>
              </w:rPr>
              <w:t> </w:t>
            </w:r>
            <w:r>
              <w:rPr>
                <w:rFonts w:ascii="Theinhardt Regular"/>
                <w:color w:val="231F20"/>
                <w:sz w:val="18"/>
              </w:rPr>
              <w:t>sie</w:t>
            </w:r>
            <w:r>
              <w:rPr>
                <w:rFonts w:ascii="Theinhardt Regular"/>
                <w:color w:val="231F20"/>
                <w:spacing w:val="32"/>
                <w:sz w:val="18"/>
              </w:rPr>
              <w:t> </w:t>
            </w:r>
            <w:r>
              <w:rPr>
                <w:rFonts w:ascii="Theinhardt Regular"/>
                <w:color w:val="231F20"/>
                <w:sz w:val="18"/>
              </w:rPr>
              <w:t>eine</w:t>
            </w:r>
            <w:r>
              <w:rPr>
                <w:rFonts w:ascii="Theinhardt Regular"/>
                <w:color w:val="231F20"/>
                <w:spacing w:val="31"/>
                <w:sz w:val="18"/>
              </w:rPr>
              <w:t> </w:t>
            </w:r>
            <w:r>
              <w:rPr>
                <w:rFonts w:ascii="Theinhardt Regular"/>
                <w:color w:val="231F20"/>
                <w:sz w:val="18"/>
              </w:rPr>
              <w:t>27</w:t>
            </w:r>
            <w:r>
              <w:rPr>
                <w:rFonts w:ascii="Theinhardt Regular"/>
                <w:color w:val="231F20"/>
                <w:spacing w:val="32"/>
                <w:sz w:val="18"/>
              </w:rPr>
              <w:t> </w:t>
            </w:r>
            <w:r>
              <w:rPr>
                <w:rFonts w:ascii="Theinhardt Regular"/>
                <w:color w:val="231F20"/>
                <w:sz w:val="18"/>
              </w:rPr>
              <w:t>kW</w:t>
              <w:tab/>
            </w:r>
            <w:r>
              <w:rPr>
                <w:rFonts w:ascii="Theinhardt Regular Italic"/>
                <w:i/>
                <w:color w:val="231F20"/>
                <w:sz w:val="18"/>
              </w:rPr>
              <w:t>une</w:t>
            </w:r>
            <w:r>
              <w:rPr>
                <w:rFonts w:ascii="Theinhardt Regular Italic"/>
                <w:i/>
                <w:color w:val="231F20"/>
                <w:spacing w:val="21"/>
                <w:sz w:val="18"/>
              </w:rPr>
              <w:t> </w:t>
            </w:r>
            <w:r>
              <w:rPr>
                <w:rFonts w:ascii="Theinhardt Regular Italic"/>
                <w:i/>
                <w:color w:val="231F20"/>
                <w:sz w:val="18"/>
              </w:rPr>
              <w:t>installation</w:t>
            </w:r>
            <w:r>
              <w:rPr>
                <w:rFonts w:ascii="Theinhardt Regular Italic"/>
                <w:i/>
                <w:color w:val="231F20"/>
                <w:spacing w:val="21"/>
                <w:sz w:val="18"/>
              </w:rPr>
              <w:t> </w:t>
            </w:r>
            <w:r>
              <w:rPr>
                <w:rFonts w:ascii="Theinhardt Regular Italic"/>
                <w:i/>
                <w:color w:val="231F20"/>
                <w:sz w:val="18"/>
              </w:rPr>
              <w:t>PV</w:t>
            </w:r>
            <w:r>
              <w:rPr>
                <w:rFonts w:ascii="Theinhardt Regular Italic"/>
                <w:i/>
                <w:color w:val="231F20"/>
                <w:spacing w:val="21"/>
                <w:sz w:val="18"/>
              </w:rPr>
              <w:t> </w:t>
            </w:r>
            <w:r>
              <w:rPr>
                <w:rFonts w:ascii="Theinhardt Regular Italic"/>
                <w:i/>
                <w:color w:val="231F20"/>
                <w:sz w:val="18"/>
              </w:rPr>
              <w:t>de</w:t>
            </w:r>
            <w:r>
              <w:rPr>
                <w:rFonts w:ascii="Theinhardt Regular Italic"/>
                <w:i/>
                <w:color w:val="231F20"/>
                <w:spacing w:val="21"/>
                <w:sz w:val="18"/>
              </w:rPr>
              <w:t> </w:t>
            </w:r>
            <w:r>
              <w:rPr>
                <w:rFonts w:ascii="Theinhardt Regular Italic"/>
                <w:i/>
                <w:color w:val="231F20"/>
                <w:sz w:val="18"/>
              </w:rPr>
              <w:t>27</w:t>
            </w:r>
            <w:r>
              <w:rPr>
                <w:rFonts w:ascii="Theinhardt Regular Italic"/>
                <w:i/>
                <w:color w:val="231F20"/>
                <w:spacing w:val="21"/>
                <w:sz w:val="18"/>
              </w:rPr>
              <w:t> </w:t>
            </w:r>
            <w:r>
              <w:rPr>
                <w:rFonts w:ascii="Theinhardt Regular Italic"/>
                <w:i/>
                <w:color w:val="231F20"/>
                <w:sz w:val="18"/>
              </w:rPr>
              <w:t>kWc</w:t>
            </w:r>
            <w:r>
              <w:rPr>
                <w:rFonts w:ascii="Theinhardt Regular Italic"/>
                <w:i/>
                <w:color w:val="231F20"/>
                <w:spacing w:val="21"/>
                <w:sz w:val="18"/>
              </w:rPr>
              <w:t> </w:t>
            </w:r>
            <w:r>
              <w:rPr>
                <w:rFonts w:ascii="Theinhardt Regular Italic"/>
                <w:i/>
                <w:color w:val="231F20"/>
                <w:sz w:val="18"/>
              </w:rPr>
              <w:t>sur</w:t>
            </w:r>
            <w:r>
              <w:rPr>
                <w:rFonts w:ascii="Theinhardt Regular Italic"/>
                <w:i/>
                <w:color w:val="231F20"/>
                <w:spacing w:val="21"/>
                <w:sz w:val="18"/>
              </w:rPr>
              <w:t> </w:t>
            </w:r>
            <w:r>
              <w:rPr>
                <w:rFonts w:ascii="Theinhardt Regular Italic"/>
                <w:i/>
                <w:color w:val="231F20"/>
                <w:sz w:val="18"/>
              </w:rPr>
              <w:t>la</w:t>
            </w:r>
            <w:r>
              <w:rPr>
                <w:rFonts w:ascii="Theinhardt Regular Italic"/>
                <w:i/>
                <w:color w:val="231F20"/>
                <w:spacing w:val="21"/>
                <w:sz w:val="18"/>
              </w:rPr>
              <w:t> </w:t>
            </w:r>
            <w:r>
              <w:rPr>
                <w:rFonts w:ascii="Theinhardt Regular Italic"/>
                <w:i/>
                <w:color w:val="231F20"/>
                <w:sz w:val="18"/>
              </w:rPr>
              <w:t>toitu-</w:t>
              <w:tab/>
            </w:r>
            <w:r>
              <w:rPr>
                <w:rFonts w:ascii="Theinhardt Regular"/>
                <w:color w:val="231F20"/>
                <w:spacing w:val="1"/>
                <w:position w:val="7"/>
                <w:sz w:val="14"/>
              </w:rPr>
              <w:t>EBF:</w:t>
            </w:r>
            <w:r>
              <w:rPr>
                <w:rFonts w:ascii="Theinhardt Regular"/>
                <w:color w:val="231F20"/>
                <w:position w:val="7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2"/>
                <w:position w:val="7"/>
                <w:sz w:val="14"/>
              </w:rPr>
              <w:t>168</w:t>
            </w:r>
            <w:r>
              <w:rPr>
                <w:rFonts w:ascii="Theinhardt Regular"/>
                <w:color w:val="231F20"/>
                <w:spacing w:val="1"/>
                <w:position w:val="7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1"/>
                <w:position w:val="7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11"/>
                <w:sz w:val="8"/>
              </w:rPr>
              <w:t>2</w:t>
            </w:r>
            <w:r>
              <w:rPr>
                <w:rFonts w:ascii="Theinhardt Regular"/>
                <w:sz w:val="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7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22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16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60" w:hRule="exact"/>
        </w:trPr>
        <w:tc>
          <w:tcPr>
            <w:tcW w:w="8532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right="461"/>
              <w:jc w:val="righ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Heizung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2"/>
                <w:sz w:val="14"/>
              </w:rPr>
              <w:t>(WP):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8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58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8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72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9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9’750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8532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626" w:val="left" w:leader="none"/>
                <w:tab w:pos="7198" w:val="left" w:leader="none"/>
              </w:tabs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z w:val="18"/>
              </w:rPr>
              <w:t>starke</w:t>
            </w:r>
            <w:r>
              <w:rPr>
                <w:rFonts w:ascii="Theinhardt Regular" w:hAnsi="Theinhardt Regular"/>
                <w:color w:val="231F20"/>
                <w:spacing w:val="5"/>
                <w:sz w:val="18"/>
              </w:rPr>
              <w:t> </w:t>
            </w:r>
            <w:r>
              <w:rPr>
                <w:rFonts w:ascii="Theinhardt Regular" w:hAnsi="Theinhardt Regular"/>
                <w:color w:val="231F20"/>
                <w:sz w:val="18"/>
              </w:rPr>
              <w:t>PV-Anlage.</w:t>
            </w:r>
            <w:r>
              <w:rPr>
                <w:rFonts w:ascii="Theinhardt Regular" w:hAnsi="Theinhardt Regular"/>
                <w:color w:val="231F20"/>
                <w:spacing w:val="5"/>
                <w:sz w:val="18"/>
              </w:rPr>
              <w:t> </w:t>
            </w:r>
            <w:r>
              <w:rPr>
                <w:rFonts w:ascii="Theinhardt Regular" w:hAnsi="Theinhardt Regular"/>
                <w:color w:val="231F20"/>
                <w:sz w:val="18"/>
              </w:rPr>
              <w:t>Die</w:t>
            </w:r>
            <w:r>
              <w:rPr>
                <w:rFonts w:ascii="Theinhardt Regular" w:hAnsi="Theinhardt Regular"/>
                <w:color w:val="231F20"/>
                <w:spacing w:val="5"/>
                <w:sz w:val="18"/>
              </w:rPr>
              <w:t> </w:t>
            </w:r>
            <w:r>
              <w:rPr>
                <w:rFonts w:ascii="Theinhardt Regular" w:hAnsi="Theinhardt Regular"/>
                <w:color w:val="231F20"/>
                <w:spacing w:val="-1"/>
                <w:sz w:val="18"/>
              </w:rPr>
              <w:t>Luft/Wasser-Wärme-</w:t>
              <w:tab/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re,</w:t>
            </w:r>
            <w:r>
              <w:rPr>
                <w:rFonts w:ascii="Theinhardt Regular Italic" w:hAnsi="Theinhardt Regular Italic"/>
                <w:i/>
                <w:color w:val="231F20"/>
                <w:spacing w:val="-2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tout</w:t>
            </w:r>
            <w:r>
              <w:rPr>
                <w:rFonts w:ascii="Theinhardt Regular Italic" w:hAnsi="Theinhardt Regular Italic"/>
                <w:i/>
                <w:color w:val="231F20"/>
                <w:spacing w:val="-2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en</w:t>
            </w:r>
            <w:r>
              <w:rPr>
                <w:rFonts w:ascii="Theinhardt Regular Italic" w:hAnsi="Theinhardt Regular Italic"/>
                <w:i/>
                <w:color w:val="231F20"/>
                <w:spacing w:val="-2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conservant</w:t>
            </w:r>
            <w:r>
              <w:rPr>
                <w:rFonts w:ascii="Theinhardt Regular Italic" w:hAnsi="Theinhardt Regular Italic"/>
                <w:i/>
                <w:color w:val="231F20"/>
                <w:spacing w:val="-2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son</w:t>
            </w:r>
            <w:r>
              <w:rPr>
                <w:rFonts w:ascii="Theinhardt Regular Italic" w:hAnsi="Theinhardt Regular Italic"/>
                <w:i/>
                <w:color w:val="231F20"/>
                <w:spacing w:val="-2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emplacement</w:t>
            </w:r>
            <w:r>
              <w:rPr>
                <w:rFonts w:ascii="Theinhardt Regular Italic" w:hAnsi="Theinhardt Regular Italic"/>
                <w:i/>
                <w:color w:val="231F20"/>
                <w:spacing w:val="-2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à</w:t>
            </w:r>
            <w:r>
              <w:rPr>
                <w:rFonts w:ascii="Theinhardt Regular Italic" w:hAnsi="Theinhardt Regular Italic"/>
                <w:i/>
                <w:color w:val="231F20"/>
                <w:spacing w:val="-2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la</w:t>
              <w:tab/>
            </w:r>
            <w:r>
              <w:rPr>
                <w:rFonts w:ascii="Theinhardt Regular" w:hAnsi="Theinhardt Regular"/>
                <w:color w:val="231F20"/>
                <w:spacing w:val="1"/>
                <w:position w:val="-1"/>
                <w:sz w:val="14"/>
              </w:rPr>
              <w:t>Warmwasser</w:t>
            </w:r>
            <w:r>
              <w:rPr>
                <w:rFonts w:ascii="Theinhardt Regular" w:hAnsi="Theinhardt Regular"/>
                <w:color w:val="231F20"/>
                <w:position w:val="-1"/>
                <w:sz w:val="14"/>
              </w:rPr>
              <w:t> </w:t>
            </w:r>
            <w:r>
              <w:rPr>
                <w:rFonts w:ascii="Theinhardt Regular" w:hAnsi="Theinhardt Regular"/>
                <w:color w:val="231F20"/>
                <w:spacing w:val="2"/>
                <w:position w:val="-1"/>
                <w:sz w:val="14"/>
              </w:rPr>
              <w:t>(WP):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8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15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9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19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0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2’526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8532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626" w:val="left" w:leader="none"/>
                <w:tab w:pos="7198" w:val="left" w:leader="none"/>
              </w:tabs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8"/>
                <w:szCs w:val="18"/>
              </w:rPr>
              <w:t>pumpe blieb bestehen.</w:t>
              <w:tab/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z w:val="18"/>
                <w:szCs w:val="18"/>
              </w:rPr>
              <w:t>pompe à chaleur pour le chauffage et l’eau.</w:t>
              <w:tab/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2"/>
                <w:position w:val="5"/>
                <w:sz w:val="14"/>
                <w:szCs w:val="14"/>
              </w:rPr>
              <w:t>Elektrizität: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5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7.6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6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9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0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1’288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52" w:hRule="exact"/>
        </w:trPr>
        <w:tc>
          <w:tcPr>
            <w:tcW w:w="8532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2" w:lineRule="exact"/>
              <w:ind w:right="596"/>
              <w:jc w:val="righ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GesamtEB: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2" w:lineRule="exact"/>
              <w:ind w:left="351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80.6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2" w:lineRule="exact"/>
              <w:ind w:left="10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2" w:lineRule="exact"/>
              <w:ind w:left="110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13’564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220" w:hRule="exact"/>
        </w:trPr>
        <w:tc>
          <w:tcPr>
            <w:tcW w:w="10373" w:type="dxa"/>
            <w:gridSpan w:val="6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853" w:val="left" w:leader="none"/>
              </w:tabs>
              <w:spacing w:line="96" w:lineRule="exact"/>
              <w:ind w:left="281" w:right="0"/>
              <w:jc w:val="left"/>
              <w:rPr>
                <w:rFonts w:ascii="Theinhardt Regular Italic" w:hAnsi="Theinhardt Regular Italic" w:cs="Theinhardt Regular Italic" w:eastAsia="Theinhardt Regular Italic"/>
                <w:sz w:val="18"/>
                <w:szCs w:val="18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8"/>
                <w:szCs w:val="18"/>
              </w:rPr>
              <w:t>Dank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35"/>
                <w:sz w:val="18"/>
                <w:szCs w:val="18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8"/>
                <w:szCs w:val="18"/>
              </w:rPr>
              <w:t>der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36"/>
                <w:sz w:val="18"/>
                <w:szCs w:val="18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8"/>
                <w:szCs w:val="18"/>
              </w:rPr>
              <w:t>Wärmedämmung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35"/>
                <w:sz w:val="18"/>
                <w:szCs w:val="18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8"/>
                <w:szCs w:val="18"/>
              </w:rPr>
              <w:t>sank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36"/>
                <w:sz w:val="18"/>
                <w:szCs w:val="18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8"/>
                <w:szCs w:val="18"/>
              </w:rPr>
              <w:t>der</w:t>
              <w:tab/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z w:val="18"/>
                <w:szCs w:val="18"/>
              </w:rPr>
              <w:t>L’isolation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pacing w:val="30"/>
                <w:sz w:val="18"/>
                <w:szCs w:val="18"/>
              </w:rPr>
              <w:t> 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z w:val="18"/>
                <w:szCs w:val="18"/>
              </w:rPr>
              <w:t>thermique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pacing w:val="29"/>
                <w:sz w:val="18"/>
                <w:szCs w:val="18"/>
              </w:rPr>
              <w:t> 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z w:val="18"/>
                <w:szCs w:val="18"/>
              </w:rPr>
              <w:t>a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pacing w:val="30"/>
                <w:sz w:val="18"/>
                <w:szCs w:val="18"/>
              </w:rPr>
              <w:t> 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z w:val="18"/>
                <w:szCs w:val="18"/>
              </w:rPr>
              <w:t>permis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pacing w:val="29"/>
                <w:sz w:val="18"/>
                <w:szCs w:val="18"/>
              </w:rPr>
              <w:t> 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z w:val="18"/>
                <w:szCs w:val="18"/>
              </w:rPr>
              <w:t>de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pacing w:val="30"/>
                <w:sz w:val="18"/>
                <w:szCs w:val="18"/>
              </w:rPr>
              <w:t> 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z w:val="18"/>
                <w:szCs w:val="18"/>
              </w:rPr>
              <w:t>dimi-</w:t>
            </w:r>
            <w:r>
              <w:rPr>
                <w:rFonts w:ascii="Theinhardt Regular Italic" w:hAnsi="Theinhardt Regular Italic" w:cs="Theinhardt Regular Italic" w:eastAsia="Theinhardt Regular Italic"/>
                <w:sz w:val="18"/>
                <w:szCs w:val="18"/>
              </w:rPr>
            </w:r>
          </w:p>
          <w:p>
            <w:pPr>
              <w:pStyle w:val="TableParagraph"/>
              <w:spacing w:line="124" w:lineRule="exact"/>
              <w:ind w:right="736"/>
              <w:jc w:val="righ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Energiebedarf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nach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Sanierung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-1"/>
                <w:sz w:val="14"/>
              </w:rPr>
              <w:t>[75%]</w:t>
            </w:r>
            <w:r>
              <w:rPr>
                <w:rFonts w:ascii="Theinhardt Bold"/>
                <w:sz w:val="14"/>
              </w:rPr>
            </w:r>
          </w:p>
        </w:tc>
      </w:tr>
      <w:tr>
        <w:trPr>
          <w:trHeight w:val="168" w:hRule="exact"/>
        </w:trPr>
        <w:tc>
          <w:tcPr>
            <w:tcW w:w="3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8"/>
                <w:szCs w:val="18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8"/>
                <w:szCs w:val="18"/>
              </w:rPr>
              <w:t>Energiebedarf 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16"/>
                <w:sz w:val="18"/>
                <w:szCs w:val="18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8"/>
                <w:szCs w:val="18"/>
              </w:rPr>
              <w:t>von 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16"/>
                <w:sz w:val="18"/>
                <w:szCs w:val="18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8"/>
                <w:szCs w:val="18"/>
              </w:rPr>
              <w:t>13’600 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16"/>
                <w:sz w:val="18"/>
                <w:szCs w:val="18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8"/>
                <w:szCs w:val="18"/>
              </w:rPr>
              <w:t>kWh/a 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16"/>
                <w:sz w:val="18"/>
                <w:szCs w:val="18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8"/>
                <w:szCs w:val="18"/>
              </w:rPr>
              <w:t>auf</w:t>
            </w:r>
            <w:r>
              <w:rPr>
                <w:rFonts w:ascii="Theinhardt Regular" w:hAnsi="Theinhardt Regular" w:cs="Theinhardt Regular" w:eastAsia="Theinhardt Regular"/>
                <w:sz w:val="18"/>
                <w:szCs w:val="18"/>
              </w:rPr>
            </w:r>
          </w:p>
        </w:tc>
        <w:tc>
          <w:tcPr>
            <w:tcW w:w="3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13" w:right="0"/>
              <w:jc w:val="left"/>
              <w:rPr>
                <w:rFonts w:ascii="Theinhardt Regular Italic" w:hAnsi="Theinhardt Regular Italic" w:cs="Theinhardt Regular Italic" w:eastAsia="Theinhardt Regular Italic"/>
                <w:sz w:val="18"/>
                <w:szCs w:val="18"/>
              </w:rPr>
            </w:pP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nuer </w:t>
            </w:r>
            <w:r>
              <w:rPr>
                <w:rFonts w:ascii="Theinhardt Regular Italic" w:hAnsi="Theinhardt Regular Italic"/>
                <w:i/>
                <w:color w:val="231F20"/>
                <w:spacing w:val="9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les </w:t>
            </w:r>
            <w:r>
              <w:rPr>
                <w:rFonts w:ascii="Theinhardt Regular Italic" w:hAnsi="Theinhardt Regular Italic"/>
                <w:i/>
                <w:color w:val="231F20"/>
                <w:spacing w:val="9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besoins </w:t>
            </w:r>
            <w:r>
              <w:rPr>
                <w:rFonts w:ascii="Theinhardt Regular Italic" w:hAnsi="Theinhardt Regular Italic"/>
                <w:i/>
                <w:color w:val="231F20"/>
                <w:spacing w:val="9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en </w:t>
            </w:r>
            <w:r>
              <w:rPr>
                <w:rFonts w:ascii="Theinhardt Regular Italic" w:hAnsi="Theinhardt Regular Italic"/>
                <w:i/>
                <w:color w:val="231F20"/>
                <w:spacing w:val="9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énergie, </w:t>
            </w:r>
            <w:r>
              <w:rPr>
                <w:rFonts w:ascii="Theinhardt Regular Italic" w:hAnsi="Theinhardt Regular Italic"/>
                <w:i/>
                <w:color w:val="231F20"/>
                <w:spacing w:val="9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passés </w:t>
            </w:r>
            <w:r>
              <w:rPr>
                <w:rFonts w:ascii="Theinhardt Regular Italic" w:hAnsi="Theinhardt Regular Italic"/>
                <w:i/>
                <w:color w:val="231F20"/>
                <w:spacing w:val="9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pacing w:val="1"/>
                <w:sz w:val="18"/>
              </w:rPr>
              <w:t>de</w:t>
            </w:r>
            <w:r>
              <w:rPr>
                <w:rFonts w:ascii="Theinhardt Regular Italic" w:hAnsi="Theinhardt Regular Italic"/>
                <w:sz w:val="18"/>
              </w:rPr>
            </w:r>
          </w:p>
        </w:tc>
        <w:tc>
          <w:tcPr>
            <w:tcW w:w="1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113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EBF: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168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sz w:val="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7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22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16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97" w:hRule="exact"/>
        </w:trPr>
        <w:tc>
          <w:tcPr>
            <w:tcW w:w="3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8"/>
                <w:szCs w:val="18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8"/>
                <w:szCs w:val="18"/>
              </w:rPr>
              <w:t>10’200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37"/>
                <w:sz w:val="18"/>
                <w:szCs w:val="18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8"/>
                <w:szCs w:val="18"/>
              </w:rPr>
              <w:t>kWh/a.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38"/>
                <w:sz w:val="18"/>
                <w:szCs w:val="18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8"/>
                <w:szCs w:val="18"/>
              </w:rPr>
              <w:t>Die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37"/>
                <w:sz w:val="18"/>
                <w:szCs w:val="18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8"/>
                <w:szCs w:val="18"/>
              </w:rPr>
              <w:t>Aussenhülle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38"/>
                <w:sz w:val="18"/>
                <w:szCs w:val="18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8"/>
                <w:szCs w:val="18"/>
              </w:rPr>
              <w:t>erhielt</w:t>
            </w:r>
            <w:r>
              <w:rPr>
                <w:rFonts w:ascii="Theinhardt Regular" w:hAnsi="Theinhardt Regular" w:cs="Theinhardt Regular" w:eastAsia="Theinhardt Regular"/>
                <w:sz w:val="18"/>
                <w:szCs w:val="18"/>
              </w:rPr>
            </w:r>
          </w:p>
        </w:tc>
        <w:tc>
          <w:tcPr>
            <w:tcW w:w="3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13" w:right="0"/>
              <w:jc w:val="left"/>
              <w:rPr>
                <w:rFonts w:ascii="Theinhardt Regular Italic" w:hAnsi="Theinhardt Regular Italic" w:cs="Theinhardt Regular Italic" w:eastAsia="Theinhardt Regular Italic"/>
                <w:sz w:val="18"/>
                <w:szCs w:val="18"/>
              </w:rPr>
            </w:pP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z w:val="18"/>
                <w:szCs w:val="18"/>
              </w:rPr>
              <w:t>13’600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pacing w:val="37"/>
                <w:sz w:val="18"/>
                <w:szCs w:val="18"/>
              </w:rPr>
              <w:t> 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z w:val="18"/>
                <w:szCs w:val="18"/>
              </w:rPr>
              <w:t>kWh/a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pacing w:val="38"/>
                <w:sz w:val="18"/>
                <w:szCs w:val="18"/>
              </w:rPr>
              <w:t> 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z w:val="18"/>
                <w:szCs w:val="18"/>
              </w:rPr>
              <w:t>à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pacing w:val="37"/>
                <w:sz w:val="18"/>
                <w:szCs w:val="18"/>
              </w:rPr>
              <w:t> 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z w:val="18"/>
                <w:szCs w:val="18"/>
              </w:rPr>
              <w:t>10’200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pacing w:val="38"/>
                <w:sz w:val="18"/>
                <w:szCs w:val="18"/>
              </w:rPr>
              <w:t> 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z w:val="18"/>
                <w:szCs w:val="18"/>
              </w:rPr>
              <w:t>kWh/a.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pacing w:val="38"/>
                <w:sz w:val="18"/>
                <w:szCs w:val="18"/>
              </w:rPr>
              <w:t> 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z w:val="18"/>
                <w:szCs w:val="18"/>
              </w:rPr>
              <w:t>Le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pacing w:val="37"/>
                <w:sz w:val="18"/>
                <w:szCs w:val="18"/>
              </w:rPr>
              <w:t> 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pacing w:val="-1"/>
                <w:sz w:val="18"/>
                <w:szCs w:val="18"/>
              </w:rPr>
              <w:t>nou-</w:t>
            </w:r>
            <w:r>
              <w:rPr>
                <w:rFonts w:ascii="Theinhardt Regular Italic" w:hAnsi="Theinhardt Regular Italic" w:cs="Theinhardt Regular Italic" w:eastAsia="Theinhardt Regular Italic"/>
                <w:sz w:val="18"/>
                <w:szCs w:val="18"/>
              </w:rPr>
            </w:r>
          </w:p>
        </w:tc>
        <w:tc>
          <w:tcPr>
            <w:tcW w:w="1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1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Heizung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2"/>
                <w:sz w:val="14"/>
              </w:rPr>
              <w:t>(WP):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48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38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8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63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9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6’360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81" w:hRule="exact"/>
        </w:trPr>
        <w:tc>
          <w:tcPr>
            <w:tcW w:w="3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0" w:lineRule="exact" w:before="11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8"/>
                <w:szCs w:val="18"/>
              </w:rPr>
            </w:pPr>
            <w:r>
              <w:rPr>
                <w:rFonts w:ascii="Theinhardt Regular"/>
                <w:color w:val="231F20"/>
                <w:sz w:val="18"/>
              </w:rPr>
              <w:t>durch</w:t>
            </w:r>
            <w:r>
              <w:rPr>
                <w:rFonts w:ascii="Theinhardt Regular"/>
                <w:color w:val="231F20"/>
                <w:spacing w:val="30"/>
                <w:sz w:val="18"/>
              </w:rPr>
              <w:t> </w:t>
            </w:r>
            <w:r>
              <w:rPr>
                <w:rFonts w:ascii="Theinhardt Regular"/>
                <w:color w:val="231F20"/>
                <w:sz w:val="18"/>
              </w:rPr>
              <w:t>die</w:t>
            </w:r>
            <w:r>
              <w:rPr>
                <w:rFonts w:ascii="Theinhardt Regular"/>
                <w:color w:val="231F20"/>
                <w:spacing w:val="31"/>
                <w:sz w:val="18"/>
              </w:rPr>
              <w:t> </w:t>
            </w:r>
            <w:r>
              <w:rPr>
                <w:rFonts w:ascii="Theinhardt Regular"/>
                <w:color w:val="231F20"/>
                <w:sz w:val="18"/>
              </w:rPr>
              <w:t>neue</w:t>
            </w:r>
            <w:r>
              <w:rPr>
                <w:rFonts w:ascii="Theinhardt Regular"/>
                <w:color w:val="231F20"/>
                <w:spacing w:val="30"/>
                <w:sz w:val="18"/>
              </w:rPr>
              <w:t> </w:t>
            </w:r>
            <w:r>
              <w:rPr>
                <w:rFonts w:ascii="Theinhardt Regular"/>
                <w:color w:val="231F20"/>
                <w:sz w:val="18"/>
              </w:rPr>
              <w:t>Fassadenverkleidung</w:t>
            </w:r>
            <w:r>
              <w:rPr>
                <w:rFonts w:ascii="Theinhardt Regular"/>
                <w:color w:val="231F20"/>
                <w:spacing w:val="31"/>
                <w:sz w:val="18"/>
              </w:rPr>
              <w:t> </w:t>
            </w:r>
            <w:r>
              <w:rPr>
                <w:rFonts w:ascii="Theinhardt Regular"/>
                <w:color w:val="231F20"/>
                <w:sz w:val="18"/>
              </w:rPr>
              <w:t>eine</w:t>
            </w:r>
            <w:r>
              <w:rPr>
                <w:rFonts w:ascii="Theinhardt Regular"/>
                <w:sz w:val="18"/>
              </w:rPr>
            </w:r>
          </w:p>
        </w:tc>
        <w:tc>
          <w:tcPr>
            <w:tcW w:w="3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0" w:lineRule="exact" w:before="11"/>
              <w:ind w:left="113" w:right="0"/>
              <w:jc w:val="left"/>
              <w:rPr>
                <w:rFonts w:ascii="Theinhardt Regular Italic" w:hAnsi="Theinhardt Regular Italic" w:cs="Theinhardt Regular Italic" w:eastAsia="Theinhardt Regular Italic"/>
                <w:sz w:val="18"/>
                <w:szCs w:val="18"/>
              </w:rPr>
            </w:pP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veau</w:t>
            </w:r>
            <w:r>
              <w:rPr>
                <w:rFonts w:ascii="Theinhardt Regular Italic" w:hAnsi="Theinhardt Regular Italic"/>
                <w:i/>
                <w:color w:val="231F20"/>
                <w:spacing w:val="14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revêtement</w:t>
            </w:r>
            <w:r>
              <w:rPr>
                <w:rFonts w:ascii="Theinhardt Regular Italic" w:hAnsi="Theinhardt Regular Italic"/>
                <w:i/>
                <w:color w:val="231F20"/>
                <w:spacing w:val="14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des</w:t>
            </w:r>
            <w:r>
              <w:rPr>
                <w:rFonts w:ascii="Theinhardt Regular Italic" w:hAnsi="Theinhardt Regular Italic"/>
                <w:i/>
                <w:color w:val="231F20"/>
                <w:spacing w:val="14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façades</w:t>
            </w:r>
            <w:r>
              <w:rPr>
                <w:rFonts w:ascii="Theinhardt Regular Italic" w:hAnsi="Theinhardt Regular Italic"/>
                <w:i/>
                <w:color w:val="231F20"/>
                <w:spacing w:val="14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a</w:t>
            </w:r>
            <w:r>
              <w:rPr>
                <w:rFonts w:ascii="Theinhardt Regular Italic" w:hAnsi="Theinhardt Regular Italic"/>
                <w:i/>
                <w:color w:val="231F20"/>
                <w:spacing w:val="14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redonné</w:t>
            </w:r>
            <w:r>
              <w:rPr>
                <w:rFonts w:ascii="Theinhardt Regular Italic" w:hAnsi="Theinhardt Regular Italic"/>
                <w:i/>
                <w:color w:val="231F20"/>
                <w:spacing w:val="14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un</w:t>
            </w:r>
            <w:r>
              <w:rPr>
                <w:rFonts w:ascii="Theinhardt Regular Italic" w:hAnsi="Theinhardt Regular Italic"/>
                <w:sz w:val="18"/>
              </w:rPr>
            </w:r>
          </w:p>
        </w:tc>
        <w:tc>
          <w:tcPr>
            <w:tcW w:w="1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11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Warmwasser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2"/>
                <w:sz w:val="14"/>
              </w:rPr>
              <w:t>(WP):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36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15.2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18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25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19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2’566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01" w:hRule="exact"/>
        </w:trPr>
        <w:tc>
          <w:tcPr>
            <w:tcW w:w="8532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1" w:lineRule="exact"/>
              <w:ind w:right="639"/>
              <w:jc w:val="righ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1"/>
                <w:w w:val="95"/>
                <w:sz w:val="14"/>
              </w:rPr>
              <w:t>Elektrizität: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1" w:lineRule="exact"/>
              <w:ind w:left="45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7.6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1" w:lineRule="exact"/>
              <w:ind w:left="19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12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1" w:lineRule="exact"/>
              <w:ind w:left="20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1’288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92" w:hRule="exact"/>
        </w:trPr>
        <w:tc>
          <w:tcPr>
            <w:tcW w:w="8532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626" w:val="left" w:leader="none"/>
                <w:tab w:pos="7198" w:val="left" w:leader="none"/>
              </w:tabs>
              <w:spacing w:line="192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z w:val="18"/>
              </w:rPr>
              <w:t>optische</w:t>
            </w:r>
            <w:r>
              <w:rPr>
                <w:rFonts w:ascii="Theinhardt Regular" w:hAnsi="Theinhardt Regular"/>
                <w:color w:val="231F20"/>
                <w:spacing w:val="42"/>
                <w:sz w:val="18"/>
              </w:rPr>
              <w:t> </w:t>
            </w:r>
            <w:r>
              <w:rPr>
                <w:rFonts w:ascii="Theinhardt Regular" w:hAnsi="Theinhardt Regular"/>
                <w:color w:val="231F20"/>
                <w:sz w:val="18"/>
              </w:rPr>
              <w:t>Aufwertung.</w:t>
            </w:r>
            <w:r>
              <w:rPr>
                <w:rFonts w:ascii="Theinhardt Regular" w:hAnsi="Theinhardt Regular"/>
                <w:color w:val="231F20"/>
                <w:spacing w:val="43"/>
                <w:sz w:val="18"/>
              </w:rPr>
              <w:t> </w:t>
            </w:r>
            <w:r>
              <w:rPr>
                <w:rFonts w:ascii="Theinhardt Regular" w:hAnsi="Theinhardt Regular"/>
                <w:color w:val="231F20"/>
                <w:sz w:val="18"/>
              </w:rPr>
              <w:t>Auf</w:t>
            </w:r>
            <w:r>
              <w:rPr>
                <w:rFonts w:ascii="Theinhardt Regular" w:hAnsi="Theinhardt Regular"/>
                <w:color w:val="231F20"/>
                <w:spacing w:val="42"/>
                <w:sz w:val="18"/>
              </w:rPr>
              <w:t> </w:t>
            </w:r>
            <w:r>
              <w:rPr>
                <w:rFonts w:ascii="Theinhardt Regular" w:hAnsi="Theinhardt Regular"/>
                <w:color w:val="231F20"/>
                <w:sz w:val="18"/>
              </w:rPr>
              <w:t>dem</w:t>
            </w:r>
            <w:r>
              <w:rPr>
                <w:rFonts w:ascii="Theinhardt Regular" w:hAnsi="Theinhardt Regular"/>
                <w:color w:val="231F20"/>
                <w:spacing w:val="43"/>
                <w:sz w:val="18"/>
              </w:rPr>
              <w:t> </w:t>
            </w:r>
            <w:r>
              <w:rPr>
                <w:rFonts w:ascii="Theinhardt Regular" w:hAnsi="Theinhardt Regular"/>
                <w:color w:val="231F20"/>
                <w:sz w:val="18"/>
              </w:rPr>
              <w:t>nach</w:t>
            </w:r>
            <w:r>
              <w:rPr>
                <w:rFonts w:ascii="Theinhardt Regular" w:hAnsi="Theinhardt Regular"/>
                <w:color w:val="231F20"/>
                <w:spacing w:val="43"/>
                <w:sz w:val="18"/>
              </w:rPr>
              <w:t> </w:t>
            </w:r>
            <w:r>
              <w:rPr>
                <w:rFonts w:ascii="Theinhardt Regular" w:hAnsi="Theinhardt Regular"/>
                <w:color w:val="231F20"/>
                <w:sz w:val="18"/>
              </w:rPr>
              <w:t>Ost-</w:t>
              <w:tab/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bel</w:t>
            </w:r>
            <w:r>
              <w:rPr>
                <w:rFonts w:ascii="Theinhardt Regular Italic" w:hAnsi="Theinhardt Regular Italic"/>
                <w:i/>
                <w:color w:val="231F20"/>
                <w:spacing w:val="-8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aspect</w:t>
            </w:r>
            <w:r>
              <w:rPr>
                <w:rFonts w:ascii="Theinhardt Regular Italic" w:hAnsi="Theinhardt Regular Italic"/>
                <w:i/>
                <w:color w:val="231F20"/>
                <w:spacing w:val="-8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extérieur</w:t>
            </w:r>
            <w:r>
              <w:rPr>
                <w:rFonts w:ascii="Theinhardt Regular Italic" w:hAnsi="Theinhardt Regular Italic"/>
                <w:i/>
                <w:color w:val="231F20"/>
                <w:spacing w:val="-8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à</w:t>
            </w:r>
            <w:r>
              <w:rPr>
                <w:rFonts w:ascii="Theinhardt Regular Italic" w:hAnsi="Theinhardt Regular Italic"/>
                <w:i/>
                <w:color w:val="231F20"/>
                <w:spacing w:val="-8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la</w:t>
            </w:r>
            <w:r>
              <w:rPr>
                <w:rFonts w:ascii="Theinhardt Regular Italic" w:hAnsi="Theinhardt Regular Italic"/>
                <w:i/>
                <w:color w:val="231F20"/>
                <w:spacing w:val="-8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maison.</w:t>
            </w:r>
            <w:r>
              <w:rPr>
                <w:rFonts w:ascii="Theinhardt Regular Italic" w:hAnsi="Theinhardt Regular Italic"/>
                <w:i/>
                <w:color w:val="231F20"/>
                <w:spacing w:val="-8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Placée</w:t>
            </w:r>
            <w:r>
              <w:rPr>
                <w:rFonts w:ascii="Theinhardt Regular Italic" w:hAnsi="Theinhardt Regular Italic"/>
                <w:i/>
                <w:color w:val="231F20"/>
                <w:spacing w:val="-8"/>
                <w:sz w:val="18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avec</w:t>
              <w:tab/>
            </w:r>
            <w:r>
              <w:rPr>
                <w:rFonts w:ascii="Theinhardt Bold" w:hAnsi="Theinhardt Bold"/>
                <w:b/>
                <w:color w:val="231F20"/>
                <w:spacing w:val="2"/>
                <w:position w:val="2"/>
                <w:sz w:val="14"/>
              </w:rPr>
              <w:t>GesamtEB:</w:t>
            </w:r>
            <w:r>
              <w:rPr>
                <w:rFonts w:ascii="Theinhardt Bold" w:hAnsi="Theinhardt Bold"/>
                <w:sz w:val="14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348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60.8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0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18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-2"/>
                <w:sz w:val="14"/>
                <w:szCs w:val="14"/>
              </w:rPr>
              <w:t>10’214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156" w:hRule="exact"/>
        </w:trPr>
        <w:tc>
          <w:tcPr>
            <w:tcW w:w="8532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626" w:val="left" w:leader="none"/>
                <w:tab w:pos="7198" w:val="left" w:leader="none"/>
              </w:tabs>
              <w:spacing w:line="156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8"/>
                <w:szCs w:val="18"/>
              </w:rPr>
              <w:t>West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24"/>
                <w:sz w:val="18"/>
                <w:szCs w:val="18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8"/>
                <w:szCs w:val="18"/>
              </w:rPr>
              <w:t>ausgerichteten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24"/>
                <w:sz w:val="18"/>
                <w:szCs w:val="18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8"/>
                <w:szCs w:val="18"/>
              </w:rPr>
              <w:t>Satteldach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24"/>
                <w:sz w:val="18"/>
                <w:szCs w:val="18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8"/>
                <w:szCs w:val="18"/>
              </w:rPr>
              <w:t>mit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24"/>
                <w:sz w:val="18"/>
                <w:szCs w:val="18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8"/>
                <w:szCs w:val="18"/>
              </w:rPr>
              <w:t>45°</w:t>
              <w:tab/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z w:val="18"/>
                <w:szCs w:val="18"/>
              </w:rPr>
              <w:t>soin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pacing w:val="2"/>
                <w:sz w:val="18"/>
                <w:szCs w:val="18"/>
              </w:rPr>
              <w:t> 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z w:val="18"/>
                <w:szCs w:val="18"/>
              </w:rPr>
              <w:t>sur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pacing w:val="2"/>
                <w:sz w:val="18"/>
                <w:szCs w:val="18"/>
              </w:rPr>
              <w:t> 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z w:val="18"/>
                <w:szCs w:val="18"/>
              </w:rPr>
              <w:t>les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pacing w:val="2"/>
                <w:sz w:val="18"/>
                <w:szCs w:val="18"/>
              </w:rPr>
              <w:t> 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z w:val="18"/>
                <w:szCs w:val="18"/>
              </w:rPr>
              <w:t>deux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pacing w:val="2"/>
                <w:sz w:val="18"/>
                <w:szCs w:val="18"/>
              </w:rPr>
              <w:t> 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z w:val="18"/>
                <w:szCs w:val="18"/>
              </w:rPr>
              <w:t>pans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pacing w:val="2"/>
                <w:sz w:val="18"/>
                <w:szCs w:val="18"/>
              </w:rPr>
              <w:t> 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z w:val="18"/>
                <w:szCs w:val="18"/>
              </w:rPr>
              <w:t>de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pacing w:val="2"/>
                <w:sz w:val="18"/>
                <w:szCs w:val="18"/>
              </w:rPr>
              <w:t> 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z w:val="18"/>
                <w:szCs w:val="18"/>
              </w:rPr>
              <w:t>la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pacing w:val="2"/>
                <w:sz w:val="18"/>
                <w:szCs w:val="18"/>
              </w:rPr>
              <w:t> 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pacing w:val="-2"/>
                <w:sz w:val="18"/>
                <w:szCs w:val="18"/>
              </w:rPr>
              <w:t>toiture,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pacing w:val="-1"/>
                <w:sz w:val="18"/>
                <w:szCs w:val="18"/>
              </w:rPr>
              <w:t> </w:t>
            </w:r>
            <w:r>
              <w:rPr>
                <w:rFonts w:ascii="Theinhardt Regular Italic" w:hAnsi="Theinhardt Regular Italic" w:cs="Theinhardt Regular Italic" w:eastAsia="Theinhardt Regular Italic"/>
                <w:i/>
                <w:color w:val="231F20"/>
                <w:spacing w:val="-2"/>
                <w:sz w:val="18"/>
                <w:szCs w:val="18"/>
              </w:rPr>
              <w:t>orientée</w:t>
              <w:tab/>
            </w: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1"/>
                <w:position w:val="3"/>
                <w:sz w:val="14"/>
                <w:szCs w:val="14"/>
              </w:rPr>
              <w:t>Energieversorgung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1910" w:h="16840"/>
          <w:pgMar w:top="840" w:bottom="280" w:left="400" w:right="740"/>
        </w:sectPr>
      </w:pPr>
    </w:p>
    <w:p>
      <w:pPr>
        <w:pStyle w:val="BodyText"/>
        <w:spacing w:line="132" w:lineRule="exact" w:before="70"/>
        <w:ind w:right="0"/>
        <w:jc w:val="left"/>
      </w:pPr>
      <w:r>
        <w:rPr>
          <w:color w:val="231F20"/>
        </w:rPr>
        <w:t>Neigung</w:t>
      </w:r>
      <w:r>
        <w:rPr>
          <w:color w:val="231F20"/>
          <w:spacing w:val="22"/>
        </w:rPr>
        <w:t> </w:t>
      </w:r>
      <w:r>
        <w:rPr>
          <w:color w:val="231F20"/>
        </w:rPr>
        <w:t>ist</w:t>
      </w:r>
      <w:r>
        <w:rPr>
          <w:color w:val="231F20"/>
          <w:spacing w:val="22"/>
        </w:rPr>
        <w:t> </w:t>
      </w:r>
      <w:r>
        <w:rPr>
          <w:color w:val="231F20"/>
        </w:rPr>
        <w:t>die</w:t>
      </w:r>
      <w:r>
        <w:rPr>
          <w:color w:val="231F20"/>
          <w:spacing w:val="22"/>
        </w:rPr>
        <w:t> </w:t>
      </w:r>
      <w:r>
        <w:rPr>
          <w:color w:val="231F20"/>
        </w:rPr>
        <w:t>PV-Anlage</w:t>
      </w:r>
      <w:r>
        <w:rPr>
          <w:color w:val="231F20"/>
          <w:spacing w:val="22"/>
        </w:rPr>
        <w:t> </w:t>
      </w:r>
      <w:r>
        <w:rPr>
          <w:color w:val="231F20"/>
        </w:rPr>
        <w:t>perfekt</w:t>
      </w:r>
      <w:r>
        <w:rPr>
          <w:color w:val="231F20"/>
          <w:spacing w:val="22"/>
        </w:rPr>
        <w:t> </w:t>
      </w:r>
      <w:r>
        <w:rPr>
          <w:color w:val="231F20"/>
        </w:rPr>
        <w:t>seiten-,</w:t>
      </w:r>
      <w:r>
        <w:rPr/>
      </w:r>
    </w:p>
    <w:p>
      <w:pPr>
        <w:spacing w:line="132" w:lineRule="exact" w:before="70"/>
        <w:ind w:left="166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est-ouest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inclinée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45°,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12"/>
        <w:ind w:left="166" w:right="0" w:firstLine="0"/>
        <w:jc w:val="left"/>
        <w:rPr>
          <w:rFonts w:ascii="Theinhardt Regular" w:hAnsi="Theinhardt Regular" w:cs="Theinhardt Regular" w:eastAsia="Theinhardt Regular"/>
          <w:sz w:val="8"/>
          <w:szCs w:val="8"/>
        </w:rPr>
      </w:pPr>
      <w:r>
        <w:rPr/>
        <w:br w:type="column"/>
      </w:r>
      <w:r>
        <w:rPr>
          <w:rFonts w:ascii="Theinhardt Regular"/>
          <w:color w:val="231F20"/>
          <w:spacing w:val="1"/>
          <w:sz w:val="14"/>
        </w:rPr>
        <w:t>Eigen-EV: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33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sz w:val="8"/>
        </w:rPr>
      </w:r>
    </w:p>
    <w:p>
      <w:pPr>
        <w:tabs>
          <w:tab w:pos="1391" w:val="left" w:leader="none"/>
          <w:tab w:pos="1797" w:val="left" w:leader="none"/>
        </w:tabs>
        <w:spacing w:before="12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br w:type="column"/>
      </w:r>
      <w:r>
        <w:rPr>
          <w:rFonts w:ascii="Theinhardt Regular"/>
          <w:color w:val="231F20"/>
          <w:sz w:val="14"/>
        </w:rPr>
        <w:t>kWp </w:t>
      </w:r>
      <w:r>
        <w:rPr>
          <w:rFonts w:ascii="Theinhardt Regular"/>
          <w:color w:val="231F20"/>
          <w:spacing w:val="37"/>
          <w:sz w:val="14"/>
        </w:rPr>
        <w:t> </w:t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  <w:tab/>
        <w:t>%</w:t>
        <w:tab/>
        <w:t>kWh/a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00" w:right="740"/>
          <w:cols w:num="4" w:equalWidth="0">
            <w:col w:w="3512" w:space="59"/>
            <w:col w:w="3510" w:space="61"/>
            <w:col w:w="1047" w:space="40"/>
            <w:col w:w="2541"/>
          </w:cols>
        </w:sectPr>
      </w:pPr>
    </w:p>
    <w:p>
      <w:pPr>
        <w:pStyle w:val="BodyText"/>
        <w:spacing w:line="230" w:lineRule="exact" w:before="88"/>
        <w:ind w:right="0"/>
        <w:jc w:val="both"/>
      </w:pPr>
      <w:r>
        <w:rPr>
          <w:color w:val="231F20"/>
        </w:rPr>
        <w:t>trauf-</w:t>
      </w:r>
      <w:r>
        <w:rPr>
          <w:color w:val="231F20"/>
          <w:spacing w:val="5"/>
        </w:rPr>
        <w:t> </w:t>
      </w:r>
      <w:r>
        <w:rPr>
          <w:color w:val="231F20"/>
        </w:rPr>
        <w:t>und</w:t>
      </w:r>
      <w:r>
        <w:rPr>
          <w:color w:val="231F20"/>
          <w:spacing w:val="5"/>
        </w:rPr>
        <w:t> </w:t>
      </w:r>
      <w:r>
        <w:rPr>
          <w:color w:val="231F20"/>
        </w:rPr>
        <w:t>firstbündig</w:t>
      </w:r>
      <w:r>
        <w:rPr>
          <w:color w:val="231F20"/>
          <w:spacing w:val="5"/>
        </w:rPr>
        <w:t> </w:t>
      </w:r>
      <w:r>
        <w:rPr>
          <w:color w:val="231F20"/>
        </w:rPr>
        <w:t>integriert.</w:t>
      </w:r>
      <w:r>
        <w:rPr>
          <w:color w:val="231F20"/>
          <w:spacing w:val="5"/>
        </w:rPr>
        <w:t> </w:t>
      </w:r>
      <w:r>
        <w:rPr>
          <w:color w:val="231F20"/>
        </w:rPr>
        <w:t>Ihre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mono-</w:t>
      </w:r>
      <w:r>
        <w:rPr>
          <w:color w:val="231F20"/>
          <w:spacing w:val="24"/>
        </w:rPr>
        <w:t> </w:t>
      </w:r>
      <w:r>
        <w:rPr>
          <w:color w:val="231F20"/>
        </w:rPr>
        <w:t>kristallinen</w:t>
      </w:r>
      <w:r>
        <w:rPr>
          <w:color w:val="231F20"/>
          <w:spacing w:val="11"/>
        </w:rPr>
        <w:t> </w:t>
      </w:r>
      <w:r>
        <w:rPr>
          <w:color w:val="231F20"/>
        </w:rPr>
        <w:t>Solarzellen</w:t>
      </w:r>
      <w:r>
        <w:rPr>
          <w:color w:val="231F20"/>
          <w:spacing w:val="11"/>
        </w:rPr>
        <w:t> </w:t>
      </w:r>
      <w:r>
        <w:rPr>
          <w:color w:val="231F20"/>
        </w:rPr>
        <w:t>produzieren</w:t>
      </w:r>
      <w:r>
        <w:rPr>
          <w:color w:val="231F20"/>
          <w:spacing w:val="11"/>
        </w:rPr>
        <w:t> </w:t>
      </w:r>
      <w:r>
        <w:rPr>
          <w:color w:val="231F20"/>
        </w:rPr>
        <w:t>23’100</w:t>
      </w:r>
      <w:r>
        <w:rPr>
          <w:color w:val="231F20"/>
        </w:rPr>
        <w:t> kWh/a.</w:t>
      </w:r>
      <w:r>
        <w:rPr>
          <w:color w:val="231F20"/>
          <w:spacing w:val="16"/>
        </w:rPr>
        <w:t> </w:t>
      </w:r>
      <w:r>
        <w:rPr>
          <w:color w:val="231F20"/>
        </w:rPr>
        <w:t>Dadurch</w:t>
      </w:r>
      <w:r>
        <w:rPr>
          <w:color w:val="231F20"/>
          <w:spacing w:val="16"/>
        </w:rPr>
        <w:t> </w:t>
      </w:r>
      <w:r>
        <w:rPr>
          <w:color w:val="231F20"/>
        </w:rPr>
        <w:t>beträgt</w:t>
      </w:r>
      <w:r>
        <w:rPr>
          <w:color w:val="231F20"/>
          <w:spacing w:val="16"/>
        </w:rPr>
        <w:t> </w:t>
      </w:r>
      <w:r>
        <w:rPr>
          <w:color w:val="231F20"/>
        </w:rPr>
        <w:t>die</w:t>
      </w:r>
      <w:r>
        <w:rPr>
          <w:color w:val="231F20"/>
          <w:spacing w:val="16"/>
        </w:rPr>
        <w:t> </w:t>
      </w:r>
      <w:r>
        <w:rPr>
          <w:color w:val="231F20"/>
        </w:rPr>
        <w:t>Eigenenergie-</w:t>
      </w:r>
      <w:r>
        <w:rPr>
          <w:color w:val="231F20"/>
        </w:rPr>
        <w:t> versorgung</w:t>
      </w:r>
      <w:r>
        <w:rPr>
          <w:color w:val="231F20"/>
          <w:spacing w:val="24"/>
        </w:rPr>
        <w:t> </w:t>
      </w:r>
      <w:r>
        <w:rPr>
          <w:color w:val="231F20"/>
        </w:rPr>
        <w:t>225%</w:t>
      </w:r>
      <w:r>
        <w:rPr>
          <w:color w:val="231F20"/>
          <w:spacing w:val="25"/>
        </w:rPr>
        <w:t> </w:t>
      </w:r>
      <w:r>
        <w:rPr>
          <w:color w:val="231F20"/>
        </w:rPr>
        <w:t>und</w:t>
      </w:r>
      <w:r>
        <w:rPr>
          <w:color w:val="231F20"/>
          <w:spacing w:val="24"/>
        </w:rPr>
        <w:t> </w:t>
      </w:r>
      <w:r>
        <w:rPr>
          <w:color w:val="231F20"/>
        </w:rPr>
        <w:t>die</w:t>
      </w:r>
      <w:r>
        <w:rPr>
          <w:color w:val="231F20"/>
          <w:spacing w:val="25"/>
        </w:rPr>
        <w:t> </w:t>
      </w:r>
      <w:r>
        <w:rPr>
          <w:color w:val="231F20"/>
        </w:rPr>
        <w:t>Familie</w:t>
      </w:r>
      <w:r>
        <w:rPr>
          <w:color w:val="231F20"/>
          <w:spacing w:val="25"/>
        </w:rPr>
        <w:t> </w:t>
      </w:r>
      <w:r>
        <w:rPr>
          <w:color w:val="231F20"/>
        </w:rPr>
        <w:t>Gasser</w:t>
      </w:r>
      <w:r>
        <w:rPr>
          <w:color w:val="231F20"/>
        </w:rPr>
        <w:t> kann</w:t>
      </w:r>
      <w:r>
        <w:rPr>
          <w:color w:val="231F20"/>
          <w:spacing w:val="16"/>
        </w:rPr>
        <w:t> </w:t>
      </w:r>
      <w:r>
        <w:rPr>
          <w:color w:val="231F20"/>
        </w:rPr>
        <w:t>mit</w:t>
      </w:r>
      <w:r>
        <w:rPr>
          <w:color w:val="231F20"/>
          <w:spacing w:val="16"/>
        </w:rPr>
        <w:t> </w:t>
      </w:r>
      <w:r>
        <w:rPr>
          <w:color w:val="231F20"/>
        </w:rPr>
        <w:t>den</w:t>
      </w:r>
      <w:r>
        <w:rPr>
          <w:color w:val="231F20"/>
          <w:spacing w:val="16"/>
        </w:rPr>
        <w:t> </w:t>
      </w:r>
      <w:r>
        <w:rPr>
          <w:color w:val="231F20"/>
        </w:rPr>
        <w:t>Solarstromüberschüssen</w:t>
      </w:r>
      <w:r>
        <w:rPr>
          <w:color w:val="231F20"/>
          <w:spacing w:val="16"/>
        </w:rPr>
        <w:t> </w:t>
      </w:r>
      <w:r>
        <w:rPr>
          <w:color w:val="231F20"/>
        </w:rPr>
        <w:t>von</w:t>
      </w:r>
      <w:r>
        <w:rPr>
          <w:color w:val="231F20"/>
        </w:rPr>
        <w:t> 12’900</w:t>
      </w:r>
      <w:r>
        <w:rPr>
          <w:color w:val="231F20"/>
          <w:spacing w:val="-2"/>
        </w:rPr>
        <w:t> </w:t>
      </w:r>
      <w:r>
        <w:rPr>
          <w:color w:val="231F20"/>
        </w:rPr>
        <w:t>kWh/a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einem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-freien </w:t>
      </w:r>
      <w:r>
        <w:rPr>
          <w:color w:val="231F20"/>
        </w:rPr>
        <w:t>Elektro-</w:t>
      </w:r>
      <w:r>
        <w:rPr/>
      </w:r>
    </w:p>
    <w:p>
      <w:pPr>
        <w:spacing w:line="230" w:lineRule="exact" w:before="88"/>
        <w:ind w:left="16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cellules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solaires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monocristallines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fournit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23’100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assure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autoproduc-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225%.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l’excédent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12’900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kWh/a,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famille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Gasser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pourrait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parcourir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Terre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véhicule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électrique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zéro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émission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faire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tabs>
          <w:tab w:pos="1784" w:val="left" w:leader="none"/>
          <w:tab w:pos="2359" w:val="left" w:leader="none"/>
          <w:tab w:pos="2835" w:val="left" w:leader="none"/>
        </w:tabs>
        <w:spacing w:line="155" w:lineRule="exact" w:before="0"/>
        <w:ind w:left="16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br w:type="column"/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Dach: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191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19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26.8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120.8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23’072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78" w:val="left" w:leader="none"/>
          <w:tab w:pos="2884" w:val="left" w:leader="none"/>
        </w:tabs>
        <w:spacing w:line="172" w:lineRule="exact" w:before="35"/>
        <w:ind w:left="16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</w:t>
        <w:tab/>
        <w:t>kWh/a</w:t>
      </w:r>
      <w:r>
        <w:rPr>
          <w:rFonts w:ascii="Theinhardt Regular"/>
          <w:sz w:val="14"/>
        </w:rPr>
      </w:r>
    </w:p>
    <w:p>
      <w:pPr>
        <w:tabs>
          <w:tab w:pos="2354" w:val="left" w:leader="none"/>
          <w:tab w:pos="2823" w:val="left" w:leader="none"/>
        </w:tabs>
        <w:spacing w:line="160" w:lineRule="exact" w:before="0"/>
        <w:ind w:left="16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w w:val="95"/>
          <w:sz w:val="14"/>
          <w:szCs w:val="14"/>
        </w:rPr>
        <w:t>225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23’072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359" w:val="left" w:leader="none"/>
          <w:tab w:pos="2836" w:val="left" w:leader="none"/>
        </w:tabs>
        <w:spacing w:line="160" w:lineRule="exact" w:before="0"/>
        <w:ind w:left="16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10’214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360" w:val="left" w:leader="none"/>
          <w:tab w:pos="2827" w:val="left" w:leader="none"/>
        </w:tabs>
        <w:spacing w:line="172" w:lineRule="exact" w:before="0"/>
        <w:ind w:left="16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w w:val="95"/>
          <w:sz w:val="14"/>
          <w:szCs w:val="14"/>
        </w:rPr>
        <w:t>125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12’858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43"/>
        <w:ind w:left="166" w:right="98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ebl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1"/>
          <w:sz w:val="14"/>
        </w:rPr>
        <w:t>08.06.2015</w:t>
      </w:r>
      <w:r>
        <w:rPr>
          <w:rFonts w:ascii="Theinhardt Regular" w:hAnsi="Theinhardt Regular"/>
          <w:color w:val="231F20"/>
          <w:spacing w:val="3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Michel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Rasquler,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061 </w:t>
      </w:r>
      <w:r>
        <w:rPr>
          <w:rFonts w:ascii="Theinhardt Regular" w:hAnsi="Theinhardt Regular"/>
          <w:color w:val="231F20"/>
          <w:spacing w:val="-1"/>
          <w:sz w:val="14"/>
        </w:rPr>
        <w:t>926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7"/>
          <w:sz w:val="14"/>
        </w:rPr>
        <w:t>11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7"/>
          <w:sz w:val="14"/>
        </w:rPr>
        <w:t>11</w:t>
      </w:r>
      <w:r>
        <w:rPr>
          <w:rFonts w:ascii="Theinhardt Regular" w:hAnsi="Theinhardt Regular"/>
          <w:sz w:val="14"/>
        </w:rPr>
      </w: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1"/>
          <w:szCs w:val="11"/>
        </w:rPr>
      </w:pPr>
    </w:p>
    <w:p>
      <w:pPr>
        <w:spacing w:line="147" w:lineRule="exact" w:before="0"/>
        <w:ind w:left="16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2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</w:t>
      </w:r>
      <w:r>
        <w:rPr>
          <w:rFonts w:ascii="Theinhardt Black"/>
          <w:b/>
          <w:color w:val="231F20"/>
          <w:spacing w:val="2"/>
          <w:sz w:val="14"/>
        </w:rPr>
        <w:t>Personen</w:t>
      </w:r>
      <w:r>
        <w:rPr>
          <w:rFonts w:ascii="Theinhardt Black"/>
          <w:sz w:val="14"/>
        </w:rPr>
      </w:r>
    </w:p>
    <w:p>
      <w:pPr>
        <w:spacing w:after="0" w:line="147" w:lineRule="exact"/>
        <w:jc w:val="left"/>
        <w:rPr>
          <w:rFonts w:ascii="Theinhardt Black" w:hAnsi="Theinhardt Black" w:cs="Theinhardt Black" w:eastAsia="Theinhardt Black"/>
          <w:sz w:val="14"/>
          <w:szCs w:val="14"/>
        </w:rPr>
        <w:sectPr>
          <w:type w:val="continuous"/>
          <w:pgSz w:w="11910" w:h="16840"/>
          <w:pgMar w:top="840" w:bottom="280" w:left="400" w:right="740"/>
          <w:cols w:num="3" w:equalWidth="0">
            <w:col w:w="3513" w:space="59"/>
            <w:col w:w="3513" w:space="59"/>
            <w:col w:w="3626"/>
          </w:cols>
        </w:sectPr>
      </w:pPr>
    </w:p>
    <w:p>
      <w:pPr>
        <w:pStyle w:val="BodyText"/>
        <w:spacing w:line="199" w:lineRule="exact"/>
        <w:ind w:right="0"/>
        <w:jc w:val="left"/>
      </w:pPr>
      <w:r>
        <w:rPr>
          <w:color w:val="231F20"/>
        </w:rPr>
        <w:t>mobil</w:t>
      </w:r>
      <w:r>
        <w:rPr>
          <w:color w:val="231F20"/>
          <w:spacing w:val="-12"/>
        </w:rPr>
        <w:t> </w:t>
      </w:r>
      <w:r>
        <w:rPr>
          <w:color w:val="231F20"/>
        </w:rPr>
        <w:t>über</w:t>
      </w:r>
      <w:r>
        <w:rPr>
          <w:color w:val="231F20"/>
          <w:spacing w:val="-12"/>
        </w:rPr>
        <w:t> </w:t>
      </w:r>
      <w:r>
        <w:rPr>
          <w:color w:val="231F20"/>
        </w:rPr>
        <w:t>zweimal</w:t>
      </w:r>
      <w:r>
        <w:rPr>
          <w:color w:val="231F20"/>
          <w:spacing w:val="-12"/>
        </w:rPr>
        <w:t> </w:t>
      </w:r>
      <w:r>
        <w:rPr>
          <w:color w:val="231F20"/>
        </w:rPr>
        <w:t>die</w:t>
      </w:r>
      <w:r>
        <w:rPr>
          <w:color w:val="231F20"/>
          <w:spacing w:val="-12"/>
        </w:rPr>
        <w:t> </w:t>
      </w:r>
      <w:r>
        <w:rPr>
          <w:color w:val="231F20"/>
        </w:rPr>
        <w:t>Welt</w:t>
      </w:r>
      <w:r>
        <w:rPr>
          <w:color w:val="231F20"/>
          <w:spacing w:val="-12"/>
        </w:rPr>
        <w:t> </w:t>
      </w:r>
      <w:r>
        <w:rPr>
          <w:color w:val="231F20"/>
        </w:rPr>
        <w:t>umrunden</w:t>
      </w:r>
      <w:r>
        <w:rPr>
          <w:color w:val="231F20"/>
          <w:spacing w:val="-12"/>
        </w:rPr>
        <w:t> </w:t>
      </w:r>
      <w:r>
        <w:rPr>
          <w:color w:val="231F20"/>
        </w:rPr>
        <w:t>oder</w:t>
      </w:r>
      <w:r>
        <w:rPr/>
      </w:r>
    </w:p>
    <w:p>
      <w:pPr>
        <w:tabs>
          <w:tab w:pos="3759" w:val="left" w:leader="none"/>
          <w:tab w:pos="7070" w:val="left" w:leader="none"/>
        </w:tabs>
        <w:spacing w:line="186" w:lineRule="exact" w:before="0"/>
        <w:ind w:left="166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/>
          <w:i/>
          <w:color w:val="231F20"/>
          <w:sz w:val="18"/>
        </w:rPr>
        <w:t>circuler neuf voitures électriques.</w:t>
      </w:r>
      <w:r>
        <w:rPr>
          <w:rFonts w:ascii="Theinhardt Regular Italic" w:hAnsi="Theinhardt Regular Italic"/>
          <w:i/>
          <w:color w:val="231F20"/>
          <w:sz w:val="18"/>
        </w:rPr>
        <w:tab/>
        <w:t> </w:t>
        <w:tab/>
      </w:r>
      <w:r>
        <w:rPr>
          <w:rFonts w:ascii="Theinhardt Regular Italic" w:hAnsi="Theinhardt Regular Italic"/>
          <w:sz w:val="18"/>
        </w:rPr>
      </w:r>
    </w:p>
    <w:p>
      <w:pPr>
        <w:spacing w:line="44" w:lineRule="exact" w:before="0"/>
        <w:ind w:left="373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pict>
          <v:group style="position:absolute;margin-left:385.511902pt;margin-top:-5.603243pt;width:167.25pt;height:.45pt;mso-position-horizontal-relative:page;mso-position-vertical-relative:paragraph;z-index:-9424" coordorigin="7710,-112" coordsize="3345,9">
            <v:group style="position:absolute;left:7732;top:-108;width:3311;height:2" coordorigin="7732,-108" coordsize="3311,2">
              <v:shape style="position:absolute;left:7732;top:-108;width:3311;height:2" coordorigin="7732,-108" coordsize="3311,0" path="m7732,-108l11042,-108e" filled="false" stroked="true" strokeweight=".425pt" strokecolor="#231f20">
                <v:path arrowok="t"/>
                <v:stroke dashstyle="dash"/>
              </v:shape>
            </v:group>
            <v:group style="position:absolute;left:7714;top:-108;width:2;height:2" coordorigin="7714,-108" coordsize="2,2">
              <v:shape style="position:absolute;left:7714;top:-108;width:2;height:2" coordorigin="7714,-108" coordsize="0,0" path="m7714,-108l7714,-108e" filled="false" stroked="true" strokeweight=".425pt" strokecolor="#231f20">
                <v:path arrowok="t"/>
              </v:shape>
            </v:group>
            <v:group style="position:absolute;left:11051;top:-108;width:2;height:2" coordorigin="11051,-108" coordsize="2,2">
              <v:shape style="position:absolute;left:11051;top:-108;width:2;height:2" coordorigin="11051,-108" coordsize="0,0" path="m11051,-108l11051,-108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Bold"/>
          <w:b/>
          <w:color w:val="231F20"/>
          <w:spacing w:val="1"/>
          <w:sz w:val="14"/>
        </w:rPr>
        <w:t>Bauherrschaft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Standort:</w:t>
      </w:r>
      <w:r>
        <w:rPr>
          <w:rFonts w:ascii="Theinhardt Bold"/>
          <w:sz w:val="14"/>
        </w:rPr>
      </w:r>
    </w:p>
    <w:p>
      <w:pPr>
        <w:spacing w:after="0" w:line="44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400" w:right="740"/>
          <w:cols w:num="2" w:equalWidth="0">
            <w:col w:w="3512" w:space="59"/>
            <w:col w:w="7199"/>
          </w:cols>
        </w:sectPr>
      </w:pPr>
    </w:p>
    <w:p>
      <w:pPr>
        <w:pStyle w:val="BodyText"/>
        <w:spacing w:line="211" w:lineRule="exact"/>
        <w:ind w:right="0"/>
        <w:jc w:val="left"/>
      </w:pPr>
      <w:r>
        <w:rPr>
          <w:color w:val="231F20"/>
        </w:rPr>
        <w:t>jährlich</w:t>
      </w:r>
      <w:r>
        <w:rPr>
          <w:color w:val="231F20"/>
          <w:spacing w:val="28"/>
        </w:rPr>
        <w:t> </w:t>
      </w:r>
      <w:r>
        <w:rPr>
          <w:color w:val="231F20"/>
        </w:rPr>
        <w:t>neun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</w:rPr>
        <w:t>2</w:t>
      </w:r>
      <w:r>
        <w:rPr>
          <w:color w:val="231F20"/>
          <w:spacing w:val="-1"/>
        </w:rPr>
        <w:t>-frei</w:t>
      </w:r>
      <w:r>
        <w:rPr>
          <w:color w:val="231F20"/>
          <w:spacing w:val="28"/>
        </w:rPr>
        <w:t> </w:t>
      </w:r>
      <w:r>
        <w:rPr>
          <w:color w:val="231F20"/>
        </w:rPr>
        <w:t>fahrende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Elektroau-</w:t>
      </w:r>
      <w:r>
        <w:rPr/>
      </w:r>
    </w:p>
    <w:p>
      <w:pPr>
        <w:pStyle w:val="BodyText"/>
        <w:spacing w:line="214" w:lineRule="exact"/>
        <w:ind w:right="0"/>
        <w:jc w:val="left"/>
      </w:pPr>
      <w:r>
        <w:rPr>
          <w:color w:val="231F20"/>
        </w:rPr>
        <w:t>tos betreiben.</w:t>
      </w:r>
      <w:r>
        <w:rPr/>
      </w:r>
    </w:p>
    <w:p>
      <w:pPr>
        <w:pStyle w:val="BodyText"/>
        <w:spacing w:line="232" w:lineRule="auto" w:before="1"/>
        <w:ind w:right="0" w:firstLine="226"/>
        <w:jc w:val="right"/>
      </w:pPr>
      <w:r>
        <w:rPr>
          <w:color w:val="231F20"/>
        </w:rPr>
        <w:t>Filigran</w:t>
      </w:r>
      <w:r>
        <w:rPr>
          <w:color w:val="231F20"/>
          <w:spacing w:val="18"/>
        </w:rPr>
        <w:t> </w:t>
      </w:r>
      <w:r>
        <w:rPr>
          <w:color w:val="231F20"/>
        </w:rPr>
        <w:t>und</w:t>
      </w:r>
      <w:r>
        <w:rPr>
          <w:color w:val="231F20"/>
          <w:spacing w:val="18"/>
        </w:rPr>
        <w:t> </w:t>
      </w:r>
      <w:r>
        <w:rPr>
          <w:color w:val="231F20"/>
        </w:rPr>
        <w:t>elegant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wirken</w:t>
      </w:r>
      <w:r>
        <w:rPr>
          <w:color w:val="231F20"/>
          <w:spacing w:val="18"/>
        </w:rPr>
        <w:t> </w:t>
      </w:r>
      <w:r>
        <w:rPr>
          <w:color w:val="231F20"/>
        </w:rPr>
        <w:t>die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quadra-</w:t>
      </w:r>
      <w:r>
        <w:rPr>
          <w:color w:val="231F20"/>
          <w:spacing w:val="26"/>
        </w:rPr>
        <w:t> </w:t>
      </w:r>
      <w:r>
        <w:rPr>
          <w:color w:val="231F20"/>
        </w:rPr>
        <w:t>tischen</w:t>
      </w:r>
      <w:r>
        <w:rPr>
          <w:color w:val="231F20"/>
          <w:spacing w:val="30"/>
        </w:rPr>
        <w:t> </w:t>
      </w:r>
      <w:r>
        <w:rPr>
          <w:color w:val="231F20"/>
        </w:rPr>
        <w:t>Solarziegel,</w:t>
      </w:r>
      <w:r>
        <w:rPr>
          <w:color w:val="231F20"/>
          <w:spacing w:val="31"/>
        </w:rPr>
        <w:t> </w:t>
      </w:r>
      <w:r>
        <w:rPr>
          <w:color w:val="231F20"/>
        </w:rPr>
        <w:t>die</w:t>
      </w:r>
      <w:r>
        <w:rPr>
          <w:color w:val="231F20"/>
          <w:spacing w:val="30"/>
        </w:rPr>
        <w:t> </w:t>
      </w:r>
      <w:r>
        <w:rPr>
          <w:color w:val="231F20"/>
        </w:rPr>
        <w:t>schuppenartig</w:t>
      </w:r>
      <w:r>
        <w:rPr>
          <w:color w:val="231F20"/>
          <w:spacing w:val="31"/>
        </w:rPr>
        <w:t> </w:t>
      </w:r>
      <w:r>
        <w:rPr>
          <w:color w:val="231F20"/>
        </w:rPr>
        <w:t>mit</w:t>
      </w:r>
      <w:r>
        <w:rPr>
          <w:color w:val="231F20"/>
        </w:rPr>
        <w:t> der</w:t>
      </w:r>
      <w:r>
        <w:rPr>
          <w:color w:val="231F20"/>
          <w:spacing w:val="24"/>
        </w:rPr>
        <w:t> </w:t>
      </w:r>
      <w:r>
        <w:rPr>
          <w:color w:val="231F20"/>
        </w:rPr>
        <w:t>passenden</w:t>
      </w:r>
      <w:r>
        <w:rPr>
          <w:color w:val="231F20"/>
          <w:spacing w:val="25"/>
        </w:rPr>
        <w:t> </w:t>
      </w:r>
      <w:r>
        <w:rPr>
          <w:color w:val="231F20"/>
        </w:rPr>
        <w:t>Unterkonstruktion</w:t>
      </w:r>
      <w:r>
        <w:rPr>
          <w:color w:val="231F20"/>
          <w:spacing w:val="24"/>
        </w:rPr>
        <w:t> </w:t>
      </w:r>
      <w:r>
        <w:rPr>
          <w:color w:val="231F20"/>
        </w:rPr>
        <w:t>auf</w:t>
      </w:r>
      <w:r>
        <w:rPr>
          <w:color w:val="231F20"/>
          <w:spacing w:val="25"/>
        </w:rPr>
        <w:t> </w:t>
      </w:r>
      <w:r>
        <w:rPr>
          <w:color w:val="231F20"/>
        </w:rPr>
        <w:t>dem</w:t>
      </w:r>
      <w:r>
        <w:rPr>
          <w:color w:val="231F20"/>
        </w:rPr>
        <w:t> Dach</w:t>
      </w:r>
      <w:r>
        <w:rPr>
          <w:color w:val="231F20"/>
          <w:spacing w:val="23"/>
        </w:rPr>
        <w:t> </w:t>
      </w:r>
      <w:r>
        <w:rPr>
          <w:color w:val="231F20"/>
        </w:rPr>
        <w:t>verlegt</w:t>
      </w:r>
      <w:r>
        <w:rPr>
          <w:color w:val="231F20"/>
          <w:spacing w:val="23"/>
        </w:rPr>
        <w:t> </w:t>
      </w:r>
      <w:r>
        <w:rPr>
          <w:color w:val="231F20"/>
        </w:rPr>
        <w:t>sind</w:t>
      </w:r>
      <w:r>
        <w:rPr>
          <w:color w:val="231F20"/>
          <w:spacing w:val="23"/>
        </w:rPr>
        <w:t> </w:t>
      </w:r>
      <w:r>
        <w:rPr>
          <w:color w:val="231F20"/>
        </w:rPr>
        <w:t>und</w:t>
      </w:r>
      <w:r>
        <w:rPr>
          <w:color w:val="231F20"/>
          <w:spacing w:val="23"/>
        </w:rPr>
        <w:t> </w:t>
      </w:r>
      <w:r>
        <w:rPr>
          <w:color w:val="231F20"/>
        </w:rPr>
        <w:t>ihm</w:t>
      </w:r>
      <w:r>
        <w:rPr>
          <w:color w:val="231F20"/>
          <w:spacing w:val="23"/>
        </w:rPr>
        <w:t> </w:t>
      </w:r>
      <w:r>
        <w:rPr>
          <w:color w:val="231F20"/>
        </w:rPr>
        <w:t>einen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vorbildli-</w:t>
      </w:r>
      <w:r>
        <w:rPr>
          <w:color w:val="231F20"/>
          <w:spacing w:val="29"/>
        </w:rPr>
        <w:t> </w:t>
      </w:r>
      <w:r>
        <w:rPr>
          <w:color w:val="231F20"/>
        </w:rPr>
        <w:t>chen </w:t>
      </w:r>
      <w:r>
        <w:rPr>
          <w:color w:val="231F20"/>
          <w:spacing w:val="9"/>
        </w:rPr>
        <w:t> </w:t>
      </w:r>
      <w:r>
        <w:rPr>
          <w:color w:val="231F20"/>
        </w:rPr>
        <w:t>ästhetischen </w:t>
      </w:r>
      <w:r>
        <w:rPr>
          <w:color w:val="231F20"/>
          <w:spacing w:val="9"/>
        </w:rPr>
        <w:t> </w:t>
      </w:r>
      <w:r>
        <w:rPr>
          <w:color w:val="231F20"/>
        </w:rPr>
        <w:t>Anblick </w:t>
      </w:r>
      <w:r>
        <w:rPr>
          <w:color w:val="231F20"/>
          <w:spacing w:val="9"/>
        </w:rPr>
        <w:t> </w:t>
      </w:r>
      <w:r>
        <w:rPr>
          <w:color w:val="231F20"/>
        </w:rPr>
        <w:t>verleihen. </w:t>
      </w:r>
      <w:r>
        <w:rPr>
          <w:color w:val="231F20"/>
          <w:spacing w:val="9"/>
        </w:rPr>
        <w:t> </w:t>
      </w:r>
      <w:r>
        <w:rPr>
          <w:color w:val="231F20"/>
        </w:rPr>
        <w:t>Die</w:t>
      </w:r>
      <w:r>
        <w:rPr>
          <w:color w:val="231F20"/>
        </w:rPr>
        <w:t> Solarziegel</w:t>
      </w:r>
      <w:r>
        <w:rPr>
          <w:color w:val="231F20"/>
          <w:spacing w:val="21"/>
        </w:rPr>
        <w:t> </w:t>
      </w:r>
      <w:r>
        <w:rPr>
          <w:color w:val="231F20"/>
        </w:rPr>
        <w:t>tragen</w:t>
      </w:r>
      <w:r>
        <w:rPr>
          <w:color w:val="231F20"/>
          <w:spacing w:val="21"/>
        </w:rPr>
        <w:t> </w:t>
      </w:r>
      <w:r>
        <w:rPr>
          <w:color w:val="231F20"/>
        </w:rPr>
        <w:t>dadurch</w:t>
      </w:r>
      <w:r>
        <w:rPr>
          <w:color w:val="231F20"/>
          <w:spacing w:val="21"/>
        </w:rPr>
        <w:t> </w:t>
      </w:r>
      <w:r>
        <w:rPr>
          <w:color w:val="231F20"/>
        </w:rPr>
        <w:t>zum</w:t>
      </w:r>
      <w:r>
        <w:rPr>
          <w:color w:val="231F20"/>
          <w:spacing w:val="21"/>
        </w:rPr>
        <w:t> </w:t>
      </w:r>
      <w:r>
        <w:rPr>
          <w:color w:val="231F20"/>
        </w:rPr>
        <w:t>Erhalt</w:t>
      </w:r>
      <w:r>
        <w:rPr>
          <w:color w:val="231F20"/>
          <w:spacing w:val="21"/>
        </w:rPr>
        <w:t> </w:t>
      </w:r>
      <w:r>
        <w:rPr>
          <w:color w:val="231F20"/>
        </w:rPr>
        <w:t>der</w:t>
      </w:r>
      <w:r>
        <w:rPr>
          <w:color w:val="231F20"/>
        </w:rPr>
        <w:t> Baukultur</w:t>
      </w:r>
      <w:r>
        <w:rPr>
          <w:color w:val="231F20"/>
          <w:spacing w:val="44"/>
        </w:rPr>
        <w:t> </w:t>
      </w:r>
      <w:r>
        <w:rPr>
          <w:color w:val="231F20"/>
        </w:rPr>
        <w:t>bei.</w:t>
      </w:r>
      <w:r>
        <w:rPr>
          <w:color w:val="231F20"/>
          <w:spacing w:val="45"/>
        </w:rPr>
        <w:t> </w:t>
      </w:r>
      <w:r>
        <w:rPr>
          <w:color w:val="231F20"/>
        </w:rPr>
        <w:t>Bei</w:t>
      </w:r>
      <w:r>
        <w:rPr>
          <w:color w:val="231F20"/>
          <w:spacing w:val="44"/>
        </w:rPr>
        <w:t> </w:t>
      </w:r>
      <w:r>
        <w:rPr>
          <w:color w:val="231F20"/>
        </w:rPr>
        <w:t>der</w:t>
      </w:r>
      <w:r>
        <w:rPr>
          <w:color w:val="231F20"/>
          <w:spacing w:val="45"/>
        </w:rPr>
        <w:t> </w:t>
      </w:r>
      <w:r>
        <w:rPr>
          <w:color w:val="231F20"/>
        </w:rPr>
        <w:t>Dach-</w:t>
      </w:r>
      <w:r>
        <w:rPr>
          <w:color w:val="231F20"/>
          <w:spacing w:val="45"/>
        </w:rPr>
        <w:t> </w:t>
      </w:r>
      <w:r>
        <w:rPr>
          <w:color w:val="231F20"/>
        </w:rPr>
        <w:t>und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Fassa-</w:t>
      </w:r>
      <w:r>
        <w:rPr>
          <w:color w:val="231F20"/>
          <w:spacing w:val="25"/>
        </w:rPr>
        <w:t> </w:t>
      </w:r>
      <w:r>
        <w:rPr>
          <w:color w:val="231F20"/>
        </w:rPr>
        <w:t>densanierung</w:t>
      </w:r>
      <w:r>
        <w:rPr>
          <w:color w:val="231F20"/>
          <w:spacing w:val="11"/>
        </w:rPr>
        <w:t> </w:t>
      </w:r>
      <w:r>
        <w:rPr>
          <w:color w:val="231F20"/>
        </w:rPr>
        <w:t>verwendete</w:t>
      </w:r>
      <w:r>
        <w:rPr>
          <w:color w:val="231F20"/>
          <w:spacing w:val="11"/>
        </w:rPr>
        <w:t> </w:t>
      </w:r>
      <w:r>
        <w:rPr>
          <w:color w:val="231F20"/>
        </w:rPr>
        <w:t>die</w:t>
      </w:r>
      <w:r>
        <w:rPr>
          <w:color w:val="231F20"/>
          <w:spacing w:val="11"/>
        </w:rPr>
        <w:t> </w:t>
      </w:r>
      <w:r>
        <w:rPr>
          <w:color w:val="231F20"/>
        </w:rPr>
        <w:t>Familie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Gas-</w:t>
      </w:r>
      <w:r>
        <w:rPr>
          <w:color w:val="231F20"/>
          <w:spacing w:val="23"/>
        </w:rPr>
        <w:t> </w:t>
      </w:r>
      <w:r>
        <w:rPr>
          <w:color w:val="231F20"/>
        </w:rPr>
        <w:t>ser nachhaltige Materialien,</w:t>
      </w:r>
      <w:r>
        <w:rPr>
          <w:color w:val="231F20"/>
          <w:spacing w:val="-11"/>
        </w:rPr>
        <w:t> </w:t>
      </w:r>
      <w:r>
        <w:rPr>
          <w:color w:val="231F20"/>
        </w:rPr>
        <w:t>vor allem Holz.</w:t>
      </w:r>
      <w:r>
        <w:rPr>
          <w:color w:val="231F20"/>
        </w:rPr>
        <w:t> Die</w:t>
      </w:r>
      <w:r>
        <w:rPr>
          <w:color w:val="231F20"/>
          <w:spacing w:val="28"/>
        </w:rPr>
        <w:t> </w:t>
      </w:r>
      <w:r>
        <w:rPr>
          <w:color w:val="231F20"/>
        </w:rPr>
        <w:t>ästhetische,</w:t>
      </w:r>
      <w:r>
        <w:rPr>
          <w:color w:val="231F20"/>
          <w:spacing w:val="29"/>
        </w:rPr>
        <w:t> </w:t>
      </w:r>
      <w:r>
        <w:rPr>
          <w:color w:val="231F20"/>
        </w:rPr>
        <w:t>optimal</w:t>
      </w:r>
      <w:r>
        <w:rPr>
          <w:color w:val="231F20"/>
          <w:spacing w:val="28"/>
        </w:rPr>
        <w:t> </w:t>
      </w:r>
      <w:r>
        <w:rPr>
          <w:color w:val="231F20"/>
        </w:rPr>
        <w:t>integrierte</w:t>
      </w:r>
      <w:r>
        <w:rPr>
          <w:color w:val="231F20"/>
          <w:spacing w:val="29"/>
        </w:rPr>
        <w:t> </w:t>
      </w:r>
      <w:r>
        <w:rPr>
          <w:color w:val="231F20"/>
        </w:rPr>
        <w:t>PV-</w:t>
      </w:r>
      <w:r>
        <w:rPr>
          <w:color w:val="231F20"/>
        </w:rPr>
        <w:t> Dachanlage</w:t>
      </w:r>
      <w:r>
        <w:rPr>
          <w:color w:val="231F20"/>
          <w:spacing w:val="29"/>
        </w:rPr>
        <w:t> </w:t>
      </w:r>
      <w:r>
        <w:rPr>
          <w:color w:val="231F20"/>
        </w:rPr>
        <w:t>und</w:t>
      </w:r>
      <w:r>
        <w:rPr>
          <w:color w:val="231F20"/>
          <w:spacing w:val="30"/>
        </w:rPr>
        <w:t> </w:t>
      </w:r>
      <w:r>
        <w:rPr>
          <w:color w:val="231F20"/>
        </w:rPr>
        <w:t>die</w:t>
      </w:r>
      <w:r>
        <w:rPr>
          <w:color w:val="231F20"/>
          <w:spacing w:val="29"/>
        </w:rPr>
        <w:t> </w:t>
      </w:r>
      <w:r>
        <w:rPr>
          <w:color w:val="231F20"/>
        </w:rPr>
        <w:t>umfassende</w:t>
      </w:r>
      <w:r>
        <w:rPr>
          <w:color w:val="231F20"/>
          <w:spacing w:val="30"/>
        </w:rPr>
        <w:t> </w:t>
      </w:r>
      <w:r>
        <w:rPr>
          <w:color w:val="231F20"/>
        </w:rPr>
        <w:t>PEB-Sa-</w:t>
      </w:r>
      <w:r>
        <w:rPr>
          <w:color w:val="231F20"/>
        </w:rPr>
        <w:t> nierung</w:t>
      </w:r>
      <w:r>
        <w:rPr>
          <w:color w:val="231F20"/>
          <w:spacing w:val="3"/>
        </w:rPr>
        <w:t> </w:t>
      </w:r>
      <w:r>
        <w:rPr>
          <w:color w:val="231F20"/>
        </w:rPr>
        <w:t>führen</w:t>
      </w:r>
      <w:r>
        <w:rPr>
          <w:color w:val="231F20"/>
          <w:spacing w:val="3"/>
        </w:rPr>
        <w:t> </w:t>
      </w:r>
      <w:r>
        <w:rPr>
          <w:color w:val="231F20"/>
        </w:rPr>
        <w:t>zu</w:t>
      </w:r>
      <w:r>
        <w:rPr>
          <w:color w:val="231F20"/>
          <w:spacing w:val="3"/>
        </w:rPr>
        <w:t> </w:t>
      </w:r>
      <w:r>
        <w:rPr>
          <w:color w:val="231F20"/>
        </w:rPr>
        <w:t>der</w:t>
      </w:r>
      <w:r>
        <w:rPr>
          <w:color w:val="231F20"/>
          <w:spacing w:val="3"/>
        </w:rPr>
        <w:t> </w:t>
      </w:r>
      <w:r>
        <w:rPr>
          <w:color w:val="231F20"/>
        </w:rPr>
        <w:t>hohen</w:t>
      </w:r>
      <w:r>
        <w:rPr>
          <w:color w:val="231F20"/>
          <w:spacing w:val="3"/>
        </w:rPr>
        <w:t> </w:t>
      </w:r>
      <w:r>
        <w:rPr>
          <w:color w:val="231F20"/>
        </w:rPr>
        <w:t>Eigenenergie-</w:t>
      </w:r>
      <w:r>
        <w:rPr>
          <w:color w:val="231F20"/>
        </w:rPr>
        <w:t> versorgung</w:t>
      </w:r>
      <w:r>
        <w:rPr>
          <w:color w:val="231F20"/>
          <w:spacing w:val="25"/>
        </w:rPr>
        <w:t> </w:t>
      </w:r>
      <w:r>
        <w:rPr>
          <w:color w:val="231F20"/>
        </w:rPr>
        <w:t>von</w:t>
      </w:r>
      <w:r>
        <w:rPr>
          <w:color w:val="231F20"/>
          <w:spacing w:val="26"/>
        </w:rPr>
        <w:t> </w:t>
      </w:r>
      <w:r>
        <w:rPr>
          <w:color w:val="231F20"/>
        </w:rPr>
        <w:t>225%</w:t>
      </w:r>
      <w:r>
        <w:rPr>
          <w:color w:val="231F20"/>
          <w:spacing w:val="25"/>
        </w:rPr>
        <w:t> </w:t>
      </w:r>
      <w:r>
        <w:rPr>
          <w:color w:val="231F20"/>
        </w:rPr>
        <w:t>und</w:t>
      </w:r>
      <w:r>
        <w:rPr>
          <w:color w:val="231F20"/>
          <w:spacing w:val="26"/>
        </w:rPr>
        <w:t> </w:t>
      </w:r>
      <w:r>
        <w:rPr>
          <w:color w:val="231F20"/>
        </w:rPr>
        <w:t>verdienen</w:t>
      </w:r>
      <w:r>
        <w:rPr>
          <w:color w:val="231F20"/>
          <w:spacing w:val="26"/>
        </w:rPr>
        <w:t> </w:t>
      </w:r>
      <w:r>
        <w:rPr>
          <w:color w:val="231F20"/>
        </w:rPr>
        <w:t>den</w:t>
      </w:r>
      <w:r>
        <w:rPr/>
      </w:r>
    </w:p>
    <w:p>
      <w:pPr>
        <w:pStyle w:val="BodyText"/>
        <w:spacing w:line="232" w:lineRule="exact"/>
        <w:ind w:right="0"/>
        <w:jc w:val="left"/>
      </w:pPr>
      <w:r>
        <w:rPr>
          <w:color w:val="231F20"/>
        </w:rPr>
        <w:t>Schweizer Solarpreis 2015.</w:t>
      </w:r>
      <w:r>
        <w:rPr/>
      </w:r>
    </w:p>
    <w:p>
      <w:pPr>
        <w:spacing w:line="195" w:lineRule="exact" w:before="0"/>
        <w:ind w:left="16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/>
          <w:i/>
          <w:color w:val="231F20"/>
          <w:sz w:val="18"/>
        </w:rPr>
        <w:t>Parfaitement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intégrées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à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la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sous-structure</w:t>
      </w:r>
      <w:r>
        <w:rPr>
          <w:rFonts w:ascii="Theinhardt Regular Italic" w:hAnsi="Theinhardt Regular Italic"/>
          <w:sz w:val="18"/>
        </w:rPr>
      </w:r>
    </w:p>
    <w:p>
      <w:pPr>
        <w:spacing w:line="232" w:lineRule="auto" w:before="1"/>
        <w:ind w:left="16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toiture,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tuiles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solaires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carrées,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nes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élégantes,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mettent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esthétiquement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valeur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l’ensemble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toit.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Elles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contribuent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préservation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culture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architec-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turale.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rénover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façades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toit,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Gasser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utilisé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matériaux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durables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en particulier du bois.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6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placée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toit,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rénovation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complète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bâtiment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permis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d’assurer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autopro-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225%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méritent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cela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Prix Solaire Suisse 2015.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160" w:lineRule="exact" w:before="110"/>
        <w:ind w:left="166" w:right="56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br w:type="column"/>
      </w:r>
      <w:r>
        <w:rPr>
          <w:rFonts w:ascii="Theinhardt Regular"/>
          <w:color w:val="231F20"/>
          <w:spacing w:val="1"/>
          <w:sz w:val="14"/>
        </w:rPr>
        <w:t>Greti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und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Rolf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Gasser,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Konsumstrasse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102</w:t>
      </w:r>
      <w:r>
        <w:rPr>
          <w:rFonts w:ascii="Theinhardt Regular"/>
          <w:color w:val="231F20"/>
          <w:spacing w:val="24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4466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Ormalingen,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061 </w:t>
      </w:r>
      <w:r>
        <w:rPr>
          <w:rFonts w:ascii="Theinhardt Regular"/>
          <w:color w:val="231F20"/>
          <w:spacing w:val="-1"/>
          <w:sz w:val="14"/>
        </w:rPr>
        <w:t>981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79</w:t>
      </w:r>
      <w:r>
        <w:rPr>
          <w:rFonts w:ascii="Theinhardt Regular"/>
          <w:sz w:val="14"/>
        </w:rPr>
      </w:r>
    </w:p>
    <w:p>
      <w:pPr>
        <w:spacing w:line="172" w:lineRule="exact" w:before="52"/>
        <w:ind w:left="16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Planung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Bauleitung:</w:t>
      </w:r>
      <w:r>
        <w:rPr>
          <w:rFonts w:ascii="Theinhardt Bold"/>
          <w:sz w:val="14"/>
        </w:rPr>
      </w:r>
    </w:p>
    <w:p>
      <w:pPr>
        <w:spacing w:line="172" w:lineRule="exact" w:before="0"/>
        <w:ind w:left="16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GR-Engineering,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Chapfweg</w:t>
      </w:r>
      <w:r>
        <w:rPr>
          <w:rFonts w:ascii="Theinhardt Regular"/>
          <w:color w:val="231F20"/>
          <w:sz w:val="14"/>
        </w:rPr>
        <w:t> 4, </w:t>
      </w:r>
      <w:r>
        <w:rPr>
          <w:rFonts w:ascii="Theinhardt Regular"/>
          <w:color w:val="231F20"/>
          <w:spacing w:val="1"/>
          <w:sz w:val="14"/>
        </w:rPr>
        <w:t>4460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Gelterkinden</w:t>
      </w:r>
      <w:r>
        <w:rPr>
          <w:rFonts w:ascii="Theinhardt Regular"/>
          <w:sz w:val="14"/>
        </w:rPr>
      </w:r>
    </w:p>
    <w:p>
      <w:pPr>
        <w:spacing w:line="172" w:lineRule="exact" w:before="35"/>
        <w:ind w:left="16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Sanierungarbeiten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PV-Anlage:</w:t>
      </w:r>
      <w:r>
        <w:rPr>
          <w:rFonts w:ascii="Theinhardt Bold"/>
          <w:sz w:val="14"/>
        </w:rPr>
      </w:r>
    </w:p>
    <w:p>
      <w:pPr>
        <w:spacing w:line="207" w:lineRule="auto" w:before="5"/>
        <w:ind w:left="166" w:right="56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511902pt;margin-top:18.382236pt;width:167.25pt;height:.45pt;mso-position-horizontal-relative:page;mso-position-vertical-relative:paragraph;z-index:1192" coordorigin="7710,368" coordsize="3345,9">
            <v:group style="position:absolute;left:7732;top:372;width:3311;height:2" coordorigin="7732,372" coordsize="3311,2">
              <v:shape style="position:absolute;left:7732;top:372;width:3311;height:2" coordorigin="7732,372" coordsize="3311,0" path="m7732,372l11042,372e" filled="false" stroked="true" strokeweight=".425pt" strokecolor="#231f20">
                <v:path arrowok="t"/>
                <v:stroke dashstyle="dash"/>
              </v:shape>
            </v:group>
            <v:group style="position:absolute;left:7714;top:372;width:2;height:2" coordorigin="7714,372" coordsize="2,2">
              <v:shape style="position:absolute;left:7714;top:372;width:2;height:2" coordorigin="7714,372" coordsize="0,0" path="m7714,372l7714,372e" filled="false" stroked="true" strokeweight=".425pt" strokecolor="#231f20">
                <v:path arrowok="t"/>
              </v:shape>
            </v:group>
            <v:group style="position:absolute;left:11051;top:372;width:2;height:2" coordorigin="11051,372" coordsize="2,2">
              <v:shape style="position:absolute;left:11051;top:372;width:2;height:2" coordorigin="11051,372" coordsize="0,0" path="m11051,372l11051,372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pacing w:val="1"/>
          <w:sz w:val="14"/>
        </w:rPr>
        <w:t>GGS</w:t>
      </w:r>
      <w:r>
        <w:rPr>
          <w:rFonts w:ascii="Theinhardt Regular"/>
          <w:color w:val="231F20"/>
          <w:sz w:val="14"/>
        </w:rPr>
        <w:t> AG </w:t>
      </w:r>
      <w:r>
        <w:rPr>
          <w:rFonts w:ascii="Theinhardt Regular"/>
          <w:color w:val="231F20"/>
          <w:spacing w:val="1"/>
          <w:sz w:val="14"/>
        </w:rPr>
        <w:t>Holzbau/Spenglerei,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Chapfweg</w:t>
      </w:r>
      <w:r>
        <w:rPr>
          <w:rFonts w:ascii="Theinhardt Regular"/>
          <w:color w:val="231F20"/>
          <w:sz w:val="14"/>
        </w:rPr>
        <w:t> 4</w:t>
      </w:r>
      <w:r>
        <w:rPr>
          <w:rFonts w:ascii="Theinhardt Regular"/>
          <w:color w:val="231F20"/>
          <w:spacing w:val="28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4460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Gelterkinden</w:t>
      </w:r>
      <w:hyperlink r:id="rId5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r.gasser@ggs-holzbau.ch</w:t>
        </w:r>
        <w:r>
          <w:rPr>
            <w:rFonts w:ascii="Theinhardt Regular"/>
            <w:sz w:val="14"/>
          </w:rPr>
        </w:r>
      </w:hyperlink>
    </w:p>
    <w:p>
      <w:pPr>
        <w:spacing w:after="0" w:line="207" w:lineRule="auto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00" w:right="740"/>
          <w:cols w:num="3" w:equalWidth="0">
            <w:col w:w="3513" w:space="59"/>
            <w:col w:w="3513" w:space="59"/>
            <w:col w:w="3626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22"/>
          <w:szCs w:val="22"/>
        </w:rPr>
      </w:pPr>
    </w:p>
    <w:p>
      <w:pPr>
        <w:spacing w:before="70"/>
        <w:ind w:left="16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78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00" w:right="740"/>
        </w:sectPr>
      </w:pPr>
    </w:p>
    <w:p>
      <w:pPr>
        <w:spacing w:line="240" w:lineRule="auto" w:before="11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1371" cy="540410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371" cy="540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4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5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tabs>
          <w:tab w:pos="5467" w:val="left" w:leader="none"/>
        </w:tabs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3261659" cy="2667000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65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261659" cy="2667000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65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467" w:val="left" w:leader="none"/>
        </w:tabs>
        <w:spacing w:before="11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17"/>
          <w:szCs w:val="17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17"/>
          <w:szCs w:val="17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Das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umfassend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sanierte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PEB-EFH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in Ormalin-</w:t>
      </w:r>
      <w:r>
        <w:rPr>
          <w:rFonts w:ascii="Theinhardt Bold" w:hAnsi="Theinhardt Bold" w:cs="Theinhardt Bold" w:eastAsia="Theinhardt Bold"/>
          <w:b/>
          <w:bCs/>
          <w:color w:val="231F20"/>
          <w:spacing w:val="3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gen/BL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mit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ganzflächig integrierten 27-kW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starken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PV-Anlage,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23’100 kWh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produziert.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  <w:tab w:pos="3681" w:val="left" w:leader="none"/>
        </w:tabs>
        <w:spacing w:line="172" w:lineRule="exact" w:before="68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br w:type="column"/>
        <w:t>Das </w:t>
      </w:r>
      <w:r>
        <w:rPr>
          <w:rFonts w:ascii="Theinhardt Bold"/>
          <w:b/>
          <w:color w:val="231F20"/>
          <w:spacing w:val="-1"/>
          <w:sz w:val="14"/>
        </w:rPr>
        <w:t>EFH</w:t>
      </w:r>
      <w:r>
        <w:rPr>
          <w:rFonts w:ascii="Theinhardt Bold"/>
          <w:b/>
          <w:color w:val="231F20"/>
          <w:sz w:val="14"/>
        </w:rPr>
        <w:t> Gasser vor </w:t>
      </w:r>
      <w:r>
        <w:rPr>
          <w:rFonts w:ascii="Theinhardt Bold"/>
          <w:b/>
          <w:color w:val="231F20"/>
          <w:spacing w:val="-1"/>
          <w:sz w:val="14"/>
        </w:rPr>
        <w:t>der</w:t>
      </w:r>
      <w:r>
        <w:rPr>
          <w:rFonts w:ascii="Theinhardt Bold"/>
          <w:b/>
          <w:color w:val="231F20"/>
          <w:sz w:val="14"/>
        </w:rPr>
        <w:t> Sanierung.</w:t>
        <w:tab/>
        <w:t>3   </w:t>
      </w:r>
      <w:r>
        <w:rPr>
          <w:rFonts w:ascii="Theinhardt Bold"/>
          <w:b/>
          <w:color w:val="231F20"/>
          <w:spacing w:val="3"/>
          <w:sz w:val="14"/>
        </w:rPr>
        <w:t> </w:t>
      </w:r>
      <w:r>
        <w:rPr>
          <w:rFonts w:ascii="Theinhardt Bold"/>
          <w:b/>
          <w:color w:val="231F20"/>
          <w:sz w:val="14"/>
        </w:rPr>
        <w:t>Detailansicht </w:t>
      </w:r>
      <w:r>
        <w:rPr>
          <w:rFonts w:ascii="Theinhardt Bold"/>
          <w:b/>
          <w:color w:val="231F20"/>
          <w:spacing w:val="-1"/>
          <w:sz w:val="14"/>
        </w:rPr>
        <w:t>der</w:t>
      </w:r>
      <w:r>
        <w:rPr>
          <w:rFonts w:ascii="Theinhardt Bold"/>
          <w:b/>
          <w:color w:val="231F20"/>
          <w:sz w:val="14"/>
        </w:rPr>
        <w:t> perfekt</w:t>
      </w:r>
      <w:r>
        <w:rPr>
          <w:rFonts w:ascii="Theinhardt Bold"/>
          <w:b/>
          <w:color w:val="231F20"/>
          <w:spacing w:val="-1"/>
          <w:sz w:val="14"/>
        </w:rPr>
        <w:t> </w:t>
      </w:r>
      <w:r>
        <w:rPr>
          <w:rFonts w:ascii="Theinhardt Bold"/>
          <w:b/>
          <w:color w:val="231F20"/>
          <w:sz w:val="14"/>
        </w:rPr>
        <w:t>seiten-,</w:t>
      </w:r>
      <w:r>
        <w:rPr>
          <w:rFonts w:ascii="Theinhardt Bold"/>
          <w:b/>
          <w:color w:val="231F20"/>
          <w:spacing w:val="-6"/>
          <w:sz w:val="14"/>
        </w:rPr>
        <w:t> </w:t>
      </w:r>
      <w:r>
        <w:rPr>
          <w:rFonts w:ascii="Theinhardt Bold"/>
          <w:b/>
          <w:color w:val="231F20"/>
          <w:sz w:val="14"/>
        </w:rPr>
        <w:t>dach-,</w:t>
      </w:r>
      <w:r>
        <w:rPr>
          <w:rFonts w:ascii="Theinhardt Bold"/>
          <w:b/>
          <w:color w:val="231F20"/>
          <w:spacing w:val="-6"/>
          <w:sz w:val="14"/>
        </w:rPr>
        <w:t> </w:t>
      </w:r>
      <w:r>
        <w:rPr>
          <w:rFonts w:ascii="Theinhardt Bold"/>
          <w:b/>
          <w:color w:val="231F20"/>
          <w:spacing w:val="-2"/>
          <w:sz w:val="14"/>
        </w:rPr>
        <w:t>fir</w:t>
      </w:r>
      <w:r>
        <w:rPr>
          <w:rFonts w:ascii="Theinhardt Bold"/>
          <w:b/>
          <w:color w:val="231F20"/>
          <w:spacing w:val="-1"/>
          <w:sz w:val="14"/>
        </w:rPr>
        <w:t>st-</w:t>
      </w:r>
      <w:r>
        <w:rPr>
          <w:rFonts w:ascii="Theinhardt Bold"/>
          <w:sz w:val="14"/>
        </w:rPr>
      </w:r>
    </w:p>
    <w:p>
      <w:pPr>
        <w:spacing w:line="207" w:lineRule="auto" w:before="5"/>
        <w:ind w:left="3908" w:right="161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und </w:t>
      </w:r>
      <w:r>
        <w:rPr>
          <w:rFonts w:ascii="Theinhardt Bold" w:hAnsi="Theinhardt Bold"/>
          <w:b/>
          <w:color w:val="231F20"/>
          <w:spacing w:val="-1"/>
          <w:sz w:val="14"/>
        </w:rPr>
        <w:t>traufbündig</w:t>
      </w:r>
      <w:r>
        <w:rPr>
          <w:rFonts w:ascii="Theinhardt Bold" w:hAnsi="Theinhardt Bold"/>
          <w:b/>
          <w:color w:val="231F20"/>
          <w:sz w:val="14"/>
        </w:rPr>
        <w:t> integrierten PV-Anlage mit </w:t>
      </w:r>
      <w:r>
        <w:rPr>
          <w:rFonts w:ascii="Theinhardt Bold" w:hAnsi="Theinhardt Bold"/>
          <w:b/>
          <w:color w:val="231F20"/>
          <w:spacing w:val="-1"/>
          <w:sz w:val="14"/>
        </w:rPr>
        <w:t>den</w:t>
      </w:r>
      <w:r>
        <w:rPr>
          <w:rFonts w:ascii="Theinhardt Bold" w:hAnsi="Theinhardt Bold"/>
          <w:b/>
          <w:color w:val="231F20"/>
          <w:spacing w:val="34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charakteristischen Solarziegeln.</w:t>
      </w:r>
      <w:r>
        <w:rPr>
          <w:rFonts w:ascii="Theinhardt Bold" w:hAnsi="Theinhardt Bold"/>
          <w:sz w:val="14"/>
        </w:rPr>
      </w:r>
    </w:p>
    <w:p>
      <w:pPr>
        <w:spacing w:after="0" w:line="207" w:lineRule="auto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2" w:equalWidth="0">
            <w:col w:w="3350" w:space="222"/>
            <w:col w:w="7138"/>
          </w:cols>
        </w:sectPr>
      </w:pPr>
    </w:p>
    <w:p>
      <w:pPr>
        <w:spacing w:line="240" w:lineRule="auto" w:before="4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79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38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39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40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42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43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44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45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47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6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r.gasser@ggs-holzbau.ch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2015-09-02T12:03:24Z</dcterms:created>
  <dcterms:modified xsi:type="dcterms:W3CDTF">2015-09-02T12:03:24Z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2015-09-02T00:00:00Z</vt:filetime>
  </property>
  <property fmtid="{D5CDD505-2E9C-101B-9397-08002B2CF9AE}" pid="3" name="LastSaved">
    <vt:filetime>2015-09-02T00:00:00Z</vt:filetime>
  </property>
</Properties>
</file>