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3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4.147207pt;width:.1pt;height:.1pt;mso-position-horizontal-relative:page;mso-position-vertical-relative:paragraph;z-index:-5200" coordorigin="571,283" coordsize="2,2">
            <v:shape style="position:absolute;left:571;top:283;width:2;height:2" coordorigin="571,283" coordsize="0,0" path="m571,283l57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147207pt;width:.1pt;height:.1pt;mso-position-horizontal-relative:page;mso-position-vertical-relative:paragraph;z-index:1120" coordorigin="3015,283" coordsize="2,2">
            <v:shape style="position:absolute;left:3015;top:283;width:2;height:2" coordorigin="3015,283" coordsize="0,0" path="m3015,283l301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647207pt;width:.1pt;height:.1pt;mso-position-horizontal-relative:page;mso-position-vertical-relative:paragraph;z-index:-5152" coordorigin="571,513" coordsize="2,2">
            <v:shape style="position:absolute;left:571;top:513;width:2;height:2" coordorigin="571,513" coordsize="0,0" path="m571,513l571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647207pt;width:.1pt;height:.1pt;mso-position-horizontal-relative:page;mso-position-vertical-relative:paragraph;z-index:1168" coordorigin="3015,513" coordsize="2,2">
            <v:shape style="position:absolute;left:3015;top:513;width:2;height:2" coordorigin="3015,513" coordsize="0,0" path="m3015,513l3015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1"/>
          <w:sz w:val="18"/>
          <w:u w:val="dotted" w:color="231F20"/>
        </w:rPr>
        <w:t>K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ategorie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              </w:t>
      </w:r>
      <w:r>
        <w:rPr>
          <w:rFonts w:ascii="Theinhardt Black" w:hAnsi="Theinhardt Black"/>
          <w:b/>
          <w:color w:val="231F20"/>
          <w:spacing w:val="18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3"/>
          <w:sz w:val="18"/>
        </w:rPr>
        <w:t> </w:t>
      </w:r>
      <w:r>
        <w:rPr>
          <w:rFonts w:ascii="Theinhardt Black" w:hAnsi="Theinhardt Black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Black" w:hAnsi="Theinhardt Black"/>
          <w:b/>
          <w:color w:val="231F20"/>
          <w:spacing w:val="4"/>
          <w:w w:val="95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Sanierungen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         </w:t>
      </w:r>
      <w:r>
        <w:rPr>
          <w:rFonts w:ascii="Theinhardt Black" w:hAnsi="Theinhardt Black"/>
          <w:b/>
          <w:color w:val="231F20"/>
          <w:spacing w:val="-6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pacing w:val="-6"/>
          <w:sz w:val="18"/>
        </w:rPr>
      </w:r>
      <w:r>
        <w:rPr>
          <w:rFonts w:ascii="Theinhardt Black" w:hAnsi="Theinhardt Black"/>
          <w:b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2015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3"/>
        <w:ind w:left="106" w:right="101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ehemalige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Heizzentrale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Kohlesilos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Maschinenfabrik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Sulzer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6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Burckhardt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Basel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vollständig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einem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Mehrzweckgebäude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umgebaut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bietet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nun</w:t>
      </w:r>
      <w:r>
        <w:rPr>
          <w:rFonts w:ascii="Theinhardt Bold" w:hAnsi="Theinhardt Bold" w:cs="Theinhardt Bold" w:eastAsia="Theinhardt Bold"/>
          <w:b/>
          <w:bCs/>
          <w:color w:val="231F20"/>
          <w:spacing w:val="4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nebst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bestehenden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Zirkusschule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Platz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Praxis,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Büro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zwei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Konferenzzimmer.</w:t>
      </w:r>
      <w:r>
        <w:rPr>
          <w:rFonts w:ascii="Theinhardt Bold" w:hAnsi="Theinhardt Bold" w:cs="Theinhardt Bold" w:eastAsia="Theinhardt Bold"/>
          <w:b/>
          <w:bCs/>
          <w:color w:val="231F20"/>
          <w:spacing w:val="6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sowie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Süd-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Nordfassade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wurden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grüne,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goldfarbene,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orange,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blaue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graue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PV-Module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monokristallinen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Solarzellen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sowie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einige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Standardmodule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schwarz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eingesetzt.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159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ganzflächig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integriert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16’400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5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37%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Gesamtenergiebedarfs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Gebäudes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44’400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Mehrzweckgebäude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Fernwärmeversorgung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angeschlossen.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z w:val="40"/>
        </w:rPr>
        <w:t>Mehrzweckgebäude «Kohlesilo», 4053 Basel/BS</w:t>
      </w:r>
      <w:r>
        <w:rPr>
          <w:rFonts w:ascii="Theinhardt Black" w:hAns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1"/>
        <w:spacing w:line="230" w:lineRule="exact" w:before="52"/>
        <w:ind w:right="10" w:firstLine="0"/>
        <w:jc w:val="both"/>
      </w:pPr>
      <w:r>
        <w:rPr>
          <w:color w:val="231F20"/>
        </w:rPr>
        <w:t>Das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ehemalige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Areal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«Gundeldinger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Feld»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Maschinenfabrik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Sulzer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und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Burckhardt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AG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Basel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entwickelte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sich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den</w:t>
      </w:r>
      <w:r>
        <w:rPr>
          <w:color w:val="231F20"/>
          <w:spacing w:val="14"/>
        </w:rPr>
        <w:t> </w:t>
      </w:r>
      <w:r>
        <w:rPr>
          <w:color w:val="231F20"/>
        </w:rPr>
        <w:t>letzten</w:t>
      </w:r>
      <w:r>
        <w:rPr/>
      </w:r>
    </w:p>
    <w:p>
      <w:pPr>
        <w:spacing w:line="230" w:lineRule="exact" w:before="0"/>
        <w:ind w:left="106" w:right="8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1"/>
          <w:sz w:val="18"/>
        </w:rPr>
        <w:t>15</w:t>
      </w:r>
      <w:r>
        <w:rPr>
          <w:rFonts w:ascii="Theinhardt Regular" w:hAnsi="Theinhardt Regular"/>
          <w:color w:val="231F20"/>
          <w:spacing w:val="44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Jahren</w:t>
      </w:r>
      <w:r>
        <w:rPr>
          <w:rFonts w:ascii="Theinhardt Regular" w:hAnsi="Theinhardt Regular"/>
          <w:color w:val="231F20"/>
          <w:spacing w:val="4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vom</w:t>
      </w:r>
      <w:r>
        <w:rPr>
          <w:rFonts w:ascii="Theinhardt Regular" w:hAnsi="Theinhardt Regular"/>
          <w:color w:val="231F20"/>
          <w:spacing w:val="4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Industriebetrieb</w:t>
      </w:r>
      <w:r>
        <w:rPr>
          <w:rFonts w:ascii="Theinhardt Regular" w:hAnsi="Theinhardt Regular"/>
          <w:color w:val="231F20"/>
          <w:spacing w:val="4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zu</w:t>
      </w:r>
      <w:r>
        <w:rPr>
          <w:rFonts w:ascii="Theinhardt Regular" w:hAnsi="Theinhardt Regular"/>
          <w:color w:val="231F20"/>
          <w:spacing w:val="4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einem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Kulturort.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Gebäude,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in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welchem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früher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Heizzentrale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und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Kohlesilo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1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Ma-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schinenfabrik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untergebracht</w:t>
      </w:r>
      <w:r>
        <w:rPr>
          <w:rFonts w:ascii="Theinhardt Regular" w:hAnsi="Theinhardt Regular"/>
          <w:color w:val="231F20"/>
          <w:spacing w:val="34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waren,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stellt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pacing w:val="1"/>
          <w:sz w:val="18"/>
        </w:rPr>
        <w:t>letzte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umgenutzte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pacing w:val="-3"/>
          <w:sz w:val="18"/>
        </w:rPr>
        <w:t>Volumen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auf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dem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Gundeldinger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Areal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5"/>
          <w:sz w:val="18"/>
        </w:rPr>
        <w:t>dar.</w:t>
      </w:r>
      <w:r>
        <w:rPr>
          <w:rFonts w:ascii="Theinhardt Regular" w:hAnsi="Theinhardt Regular"/>
          <w:color w:val="231F20"/>
          <w:spacing w:val="-1"/>
          <w:sz w:val="18"/>
        </w:rPr>
        <w:t> Dabei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achteten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Verantwortlichen besonders </w:t>
      </w:r>
      <w:r>
        <w:rPr>
          <w:rFonts w:ascii="Theinhardt Regular" w:hAnsi="Theinhardt Regular"/>
          <w:color w:val="231F20"/>
          <w:spacing w:val="-1"/>
          <w:sz w:val="18"/>
        </w:rPr>
        <w:t>auf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Wieder-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verwertung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von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Bauteilen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und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Materialien.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0"/>
        <w:ind w:left="106" w:right="9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mehrfarbig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verglasten,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monokristalli-</w:t>
      </w:r>
      <w:r>
        <w:rPr>
          <w:rFonts w:ascii="Theinhardt Regular" w:hAnsi="Theinhardt Regular"/>
          <w:color w:val="231F20"/>
          <w:spacing w:val="3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nen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Solarzellen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auf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dem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Dach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sowie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an</w:t>
      </w:r>
      <w:r>
        <w:rPr>
          <w:rFonts w:ascii="Theinhardt Regular" w:hAnsi="Theinhardt Regular"/>
          <w:color w:val="231F20"/>
          <w:spacing w:val="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Fassade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bilden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eine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interessante</w:t>
      </w:r>
      <w:r>
        <w:rPr>
          <w:rFonts w:ascii="Theinhardt Regular" w:hAnsi="Theinhardt Regular"/>
          <w:color w:val="231F20"/>
          <w:spacing w:val="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Neuerung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für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Solarbranche.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Sie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eröffnen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Mög-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lichkeit,</w:t>
      </w:r>
      <w:r>
        <w:rPr>
          <w:rFonts w:ascii="Theinhardt Regular" w:hAnsi="Theinhardt Regular"/>
          <w:color w:val="231F20"/>
          <w:spacing w:val="-2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ganze</w:t>
      </w:r>
      <w:r>
        <w:rPr>
          <w:rFonts w:ascii="Theinhardt Regular" w:hAnsi="Theinhardt Regular"/>
          <w:color w:val="231F20"/>
          <w:spacing w:val="-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Überbauungen,</w:t>
      </w:r>
      <w:r>
        <w:rPr>
          <w:rFonts w:ascii="Theinhardt Regular" w:hAnsi="Theinhardt Regular"/>
          <w:color w:val="231F20"/>
          <w:spacing w:val="-2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Quartiere</w:t>
      </w:r>
      <w:r>
        <w:rPr>
          <w:rFonts w:ascii="Theinhardt Regular" w:hAnsi="Theinhardt Regular"/>
          <w:color w:val="231F20"/>
          <w:spacing w:val="-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und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Industrie-Areale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mit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Solarfassaden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und</w:t>
      </w:r>
      <w:r>
        <w:rPr>
          <w:rFonts w:ascii="Theinhardt Regular" w:hAnsi="Theinhardt Regular"/>
          <w:color w:val="231F20"/>
          <w:spacing w:val="1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So-</w:t>
      </w:r>
      <w:r>
        <w:rPr>
          <w:rFonts w:ascii="Theinhardt Regular" w:hAnsi="Theinhardt Regular"/>
          <w:color w:val="231F20"/>
          <w:spacing w:val="45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lardächern </w:t>
      </w:r>
      <w:r>
        <w:rPr>
          <w:rFonts w:ascii="Theinhardt Regular" w:hAnsi="Theinhardt Regular"/>
          <w:color w:val="231F20"/>
          <w:spacing w:val="-1"/>
          <w:sz w:val="18"/>
        </w:rPr>
        <w:t>attraktiver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zu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gestalten.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Um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Eigenverbrauch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Stroms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im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Areal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zu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optimieren,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wird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ein</w:t>
      </w:r>
      <w:r>
        <w:rPr>
          <w:rFonts w:ascii="Theinhardt Regular" w:hAnsi="Theinhardt Regular"/>
          <w:color w:val="231F20"/>
          <w:spacing w:val="16"/>
          <w:sz w:val="18"/>
        </w:rPr>
        <w:t> </w:t>
      </w:r>
      <w:r>
        <w:rPr>
          <w:rFonts w:ascii="Theinhardt Regular" w:hAnsi="Theinhardt Regular"/>
          <w:color w:val="231F20"/>
          <w:spacing w:val="-3"/>
          <w:sz w:val="18"/>
        </w:rPr>
        <w:t>«Second-Life-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Batteriespeicher»</w:t>
      </w:r>
      <w:r>
        <w:rPr>
          <w:rFonts w:ascii="Theinhardt Regular" w:hAnsi="Theinhardt Regular"/>
          <w:color w:val="231F20"/>
          <w:spacing w:val="-1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</w:t>
      </w:r>
      <w:r>
        <w:rPr>
          <w:rFonts w:ascii="Theinhardt Regular" w:hAnsi="Theinhardt Regular"/>
          <w:color w:val="231F20"/>
          <w:spacing w:val="-1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gebrauchten</w:t>
      </w:r>
      <w:r>
        <w:rPr>
          <w:rFonts w:ascii="Theinhardt Regular" w:hAnsi="Theinhardt Regular"/>
          <w:color w:val="231F20"/>
          <w:spacing w:val="-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Lithium-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Ionen-Batterien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Elektromobilität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instal-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liert.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Gebäude,</w:t>
      </w:r>
      <w:r>
        <w:rPr>
          <w:rFonts w:ascii="Theinhardt Regular" w:hAnsi="Theinhardt Regular"/>
          <w:color w:val="231F20"/>
          <w:spacing w:val="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welches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den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alten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Na-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men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«Kohlesilo»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behielt,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pacing w:val="-3"/>
          <w:sz w:val="18"/>
        </w:rPr>
        <w:t>wird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als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Pilotpro-</w:t>
      </w:r>
      <w:r>
        <w:rPr>
          <w:rFonts w:ascii="Theinhardt Regular" w:hAnsi="Theinhardt Regular"/>
          <w:color w:val="231F20"/>
          <w:spacing w:val="4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jekt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vom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Amt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für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Umwelt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und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Energie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des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Kantons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Basel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Stadt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und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vom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Bundesamt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für</w:t>
      </w:r>
      <w:r>
        <w:rPr>
          <w:rFonts w:ascii="Theinhardt Regular" w:hAnsi="Theinhardt Regular"/>
          <w:color w:val="231F20"/>
          <w:spacing w:val="-1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Energie</w:t>
      </w:r>
      <w:r>
        <w:rPr>
          <w:rFonts w:ascii="Theinhardt Regular" w:hAnsi="Theinhardt Regular"/>
          <w:color w:val="231F20"/>
          <w:spacing w:val="-1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gefördert</w:t>
      </w:r>
      <w:r>
        <w:rPr>
          <w:rFonts w:ascii="Theinhardt Regular" w:hAnsi="Theinhardt Regular"/>
          <w:color w:val="231F20"/>
          <w:spacing w:val="-1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und</w:t>
      </w:r>
      <w:r>
        <w:rPr>
          <w:rFonts w:ascii="Theinhardt Regular" w:hAnsi="Theinhardt Regular"/>
          <w:color w:val="231F20"/>
          <w:spacing w:val="-1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von</w:t>
      </w:r>
      <w:r>
        <w:rPr>
          <w:rFonts w:ascii="Theinhardt Regular" w:hAnsi="Theinhardt Regular"/>
          <w:color w:val="231F20"/>
          <w:spacing w:val="-1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-1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Fachhoch-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schule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Nordwestschweiz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(FHNW)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begleitet.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Ein</w:t>
      </w:r>
      <w:r>
        <w:rPr>
          <w:rFonts w:ascii="Theinhardt Regular" w:hAnsi="Theinhardt Regular"/>
          <w:color w:val="231F20"/>
          <w:spacing w:val="-1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Monitoring</w:t>
      </w:r>
      <w:r>
        <w:rPr>
          <w:rFonts w:ascii="Theinhardt Regular" w:hAnsi="Theinhardt Regular"/>
          <w:color w:val="231F20"/>
          <w:spacing w:val="-1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erfasst</w:t>
      </w:r>
      <w:r>
        <w:rPr>
          <w:rFonts w:ascii="Theinhardt Regular" w:hAnsi="Theinhardt Regular"/>
          <w:color w:val="231F20"/>
          <w:spacing w:val="-1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-15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Leistungsdaten</w:t>
      </w:r>
      <w:r>
        <w:rPr>
          <w:rFonts w:ascii="Theinhardt Regular" w:hAnsi="Theinhardt Regular"/>
          <w:color w:val="231F20"/>
          <w:spacing w:val="-15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je-</w:t>
      </w:r>
      <w:r>
        <w:rPr>
          <w:rFonts w:ascii="Theinhardt Regular" w:hAnsi="Theinhardt Regular"/>
          <w:color w:val="231F20"/>
          <w:spacing w:val="3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des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PV-Moduls.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Die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Messungen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dienen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Optimierung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24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kW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starken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3"/>
          <w:sz w:val="18"/>
        </w:rPr>
        <w:t>PV-Anlage</w:t>
      </w:r>
      <w:r>
        <w:rPr>
          <w:rFonts w:ascii="Theinhardt Regular" w:hAnsi="Theinhardt Regular"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und</w:t>
      </w:r>
      <w:r>
        <w:rPr>
          <w:rFonts w:ascii="Theinhardt Regular" w:hAnsi="Theinhardt Regular"/>
          <w:color w:val="231F20"/>
          <w:spacing w:val="-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zur</w:t>
      </w:r>
      <w:r>
        <w:rPr>
          <w:rFonts w:ascii="Theinhardt Regular" w:hAnsi="Theinhardt Regular"/>
          <w:color w:val="231F20"/>
          <w:spacing w:val="-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Untersuchung</w:t>
      </w:r>
      <w:r>
        <w:rPr>
          <w:rFonts w:ascii="Theinhardt Regular" w:hAnsi="Theinhardt Regular"/>
          <w:color w:val="231F20"/>
          <w:spacing w:val="-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-16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Auswirkungen</w:t>
      </w:r>
      <w:r>
        <w:rPr>
          <w:rFonts w:ascii="Theinhardt Regular" w:hAnsi="Theinhardt Regular"/>
          <w:color w:val="231F20"/>
          <w:spacing w:val="-1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verschiedenen Farben </w:t>
      </w:r>
      <w:r>
        <w:rPr>
          <w:rFonts w:ascii="Theinhardt Regular" w:hAnsi="Theinhardt Regular"/>
          <w:color w:val="231F20"/>
          <w:spacing w:val="-1"/>
          <w:sz w:val="18"/>
        </w:rPr>
        <w:t>auf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-2"/>
          <w:sz w:val="18"/>
        </w:rPr>
        <w:t> PV-Leistung.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0"/>
        <w:ind w:left="106" w:right="9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1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Umgang</w:t>
      </w:r>
      <w:r>
        <w:rPr>
          <w:rFonts w:ascii="Theinhardt Regular" w:hAnsi="Theinhardt Regular"/>
          <w:color w:val="231F20"/>
          <w:spacing w:val="1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mit</w:t>
      </w:r>
      <w:r>
        <w:rPr>
          <w:rFonts w:ascii="Theinhardt Regular" w:hAnsi="Theinhardt Regular"/>
          <w:color w:val="231F20"/>
          <w:spacing w:val="1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1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bestehenden</w:t>
      </w:r>
      <w:r>
        <w:rPr>
          <w:rFonts w:ascii="Theinhardt Regular" w:hAnsi="Theinhardt Regular"/>
          <w:color w:val="231F20"/>
          <w:spacing w:val="1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Bau-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substanz,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gestalterische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Qualität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2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Solaranlagen,</w:t>
      </w:r>
      <w:r>
        <w:rPr>
          <w:rFonts w:ascii="Theinhardt Regular" w:hAnsi="Theinhardt Regular"/>
          <w:color w:val="231F20"/>
          <w:spacing w:val="1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Einbettung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des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Energie-</w:t>
      </w:r>
      <w:r>
        <w:rPr>
          <w:rFonts w:ascii="Theinhardt Regular" w:hAnsi="Theinhardt Regular"/>
          <w:color w:val="231F20"/>
          <w:spacing w:val="5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konzepts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in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ein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ganzes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Areal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und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die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Über-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prüfung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der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energetischen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Qualität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im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Be-</w:t>
      </w:r>
      <w:r>
        <w:rPr>
          <w:rFonts w:ascii="Theinhardt Regular" w:hAnsi="Theinhardt Regular"/>
          <w:color w:val="231F20"/>
          <w:spacing w:val="3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trieb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rechtfertigen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den</w:t>
      </w:r>
      <w:r>
        <w:rPr>
          <w:rFonts w:ascii="Theinhardt Regular" w:hAnsi="Theinhardt Regular"/>
          <w:color w:val="231F20"/>
          <w:spacing w:val="-2"/>
          <w:sz w:val="18"/>
        </w:rPr>
        <w:t> Schweizer Solarpreis</w:t>
      </w:r>
      <w:r>
        <w:rPr>
          <w:rFonts w:ascii="Theinhardt Regular" w:hAnsi="Theinhardt Regular"/>
          <w:color w:val="231F20"/>
          <w:spacing w:val="3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2015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für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-2"/>
          <w:sz w:val="18"/>
        </w:rPr>
        <w:t> Kohlesilo </w:t>
      </w:r>
      <w:r>
        <w:rPr>
          <w:rFonts w:ascii="Theinhardt Regular" w:hAnsi="Theinhardt Regular"/>
          <w:color w:val="231F20"/>
          <w:spacing w:val="-1"/>
          <w:sz w:val="18"/>
        </w:rPr>
        <w:t>in</w:t>
      </w:r>
      <w:r>
        <w:rPr>
          <w:rFonts w:ascii="Theinhardt Regular" w:hAnsi="Theinhardt Regular"/>
          <w:color w:val="231F20"/>
          <w:spacing w:val="-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Basel.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2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4"/>
        </w:rPr>
        <w:t>L’ancien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site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«Gundeldinger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Feld»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fab-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rique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machines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Sulzer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Burckhardt</w:t>
      </w:r>
      <w:r>
        <w:rPr>
          <w:color w:val="231F20"/>
          <w:spacing w:val="1"/>
        </w:rPr>
        <w:t> SA </w:t>
      </w:r>
      <w:r>
        <w:rPr>
          <w:color w:val="231F20"/>
        </w:rPr>
        <w:t>à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Bâle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a,</w:t>
      </w:r>
      <w:r>
        <w:rPr>
          <w:color w:val="231F20"/>
          <w:spacing w:val="-19"/>
        </w:rPr>
        <w:t> </w:t>
      </w:r>
      <w:r>
        <w:rPr>
          <w:color w:val="231F20"/>
        </w:rPr>
        <w:t>au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cours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quinze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dernières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années,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fait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place</w:t>
      </w:r>
      <w:r>
        <w:rPr>
          <w:color w:val="231F20"/>
          <w:spacing w:val="12"/>
        </w:rPr>
        <w:t> </w:t>
      </w:r>
      <w:r>
        <w:rPr>
          <w:color w:val="231F20"/>
        </w:rPr>
        <w:t>à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quartier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culturel.</w:t>
      </w:r>
      <w:r>
        <w:rPr>
          <w:color w:val="231F20"/>
          <w:spacing w:val="5"/>
        </w:rPr>
        <w:t> </w:t>
      </w:r>
      <w:r>
        <w:rPr>
          <w:color w:val="231F20"/>
          <w:spacing w:val="-5"/>
        </w:rPr>
        <w:t>Le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bâtiment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qui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abritait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alors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centrale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chauffe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silo</w:t>
      </w:r>
      <w:r>
        <w:rPr>
          <w:color w:val="231F20"/>
          <w:spacing w:val="16"/>
        </w:rPr>
        <w:t> </w:t>
      </w:r>
      <w:r>
        <w:rPr>
          <w:color w:val="231F20"/>
        </w:rPr>
        <w:t>à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charbon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joué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rôle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moteur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décisif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dans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réhabilitation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-3"/>
        </w:rPr>
        <w:t> développement </w:t>
      </w:r>
      <w:r>
        <w:rPr>
          <w:color w:val="231F20"/>
          <w:spacing w:val="-2"/>
        </w:rPr>
        <w:t>de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cet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espace.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Les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responsables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ont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porté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une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attention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particulière</w:t>
      </w:r>
      <w:r>
        <w:rPr>
          <w:color w:val="231F20"/>
          <w:spacing w:val="23"/>
        </w:rPr>
        <w:t> </w:t>
      </w:r>
      <w:r>
        <w:rPr>
          <w:color w:val="231F20"/>
        </w:rPr>
        <w:t>au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recyclage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mar-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chandises </w:t>
      </w:r>
      <w:r>
        <w:rPr>
          <w:color w:val="231F20"/>
          <w:spacing w:val="-1"/>
        </w:rPr>
        <w:t>et</w:t>
      </w:r>
      <w:r>
        <w:rPr>
          <w:color w:val="231F20"/>
          <w:spacing w:val="-2"/>
        </w:rPr>
        <w:t> des </w:t>
      </w:r>
      <w:r>
        <w:rPr>
          <w:color w:val="231F20"/>
          <w:spacing w:val="-1"/>
        </w:rPr>
        <w:t>matériaux.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  <w:spacing w:val="-4"/>
        </w:rPr>
        <w:t>Les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cellules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solaires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monocristallines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verre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multicolore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qui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recouvrent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toiture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façades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constituent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une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innovation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inté-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ressante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pour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l’industrie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solaire.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Elles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per-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mettront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l’avenir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d’équiper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lotissements,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quartiers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zones</w:t>
      </w:r>
      <w:r>
        <w:rPr>
          <w:color w:val="231F20"/>
          <w:spacing w:val="-2"/>
        </w:rPr>
        <w:t> industrielles </w:t>
      </w:r>
      <w:r>
        <w:rPr>
          <w:color w:val="231F20"/>
          <w:spacing w:val="-1"/>
        </w:rPr>
        <w:t>d’installations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solaires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pointe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sans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porter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préjudice</w:t>
      </w:r>
      <w:r>
        <w:rPr>
          <w:color w:val="231F20"/>
          <w:spacing w:val="41"/>
        </w:rPr>
        <w:t> </w:t>
      </w:r>
      <w:r>
        <w:rPr>
          <w:color w:val="231F20"/>
        </w:rPr>
        <w:t>à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l’esthétique</w:t>
      </w:r>
      <w:r>
        <w:rPr>
          <w:color w:val="231F20"/>
          <w:spacing w:val="-2"/>
        </w:rPr>
        <w:t> des lieux.</w:t>
      </w:r>
      <w:r>
        <w:rPr>
          <w:i w:val="0"/>
        </w:rPr>
      </w:r>
    </w:p>
    <w:p>
      <w:pPr>
        <w:pStyle w:val="BodyText"/>
        <w:spacing w:line="230" w:lineRule="exact"/>
        <w:ind w:right="4"/>
        <w:jc w:val="both"/>
        <w:rPr>
          <w:i w:val="0"/>
        </w:rPr>
      </w:pPr>
      <w:r>
        <w:rPr>
          <w:color w:val="231F20"/>
          <w:spacing w:val="-1"/>
        </w:rPr>
        <w:t>Afin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d’augmenter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l’autoconsommation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sur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site,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utilise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stockage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sur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accumula-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teurs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seconde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main,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composé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batteries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Li-ion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usagées,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issues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l’électro-mobilité.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Le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Service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l’environnement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l’énergie</w:t>
      </w:r>
      <w:r>
        <w:rPr>
          <w:color w:val="231F20"/>
          <w:spacing w:val="-7"/>
        </w:rPr>
        <w:t> </w:t>
      </w:r>
      <w:r>
        <w:rPr>
          <w:color w:val="231F20"/>
        </w:rPr>
        <w:t>du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canton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Bâle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l’Office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fédéral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l’énergie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soutient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bâtiment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qui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conservé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nom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«Kohlesilo»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tant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projet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pilote,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Haute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école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spécialisée</w:t>
      </w:r>
      <w:r>
        <w:rPr>
          <w:color w:val="231F20"/>
          <w:spacing w:val="11"/>
        </w:rPr>
        <w:t> </w:t>
      </w:r>
      <w:r>
        <w:rPr>
          <w:color w:val="231F20"/>
        </w:rPr>
        <w:t>du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nord-ouest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Suisse </w:t>
      </w:r>
      <w:r>
        <w:rPr>
          <w:color w:val="231F20"/>
          <w:spacing w:val="-2"/>
        </w:rPr>
        <w:t>(FHNW)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apporte sa </w:t>
      </w:r>
      <w:r>
        <w:rPr>
          <w:color w:val="231F20"/>
          <w:spacing w:val="-2"/>
        </w:rPr>
        <w:t>contribution.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outil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surveillance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enregistre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rendement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chaque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module</w:t>
      </w:r>
      <w:r>
        <w:rPr>
          <w:color w:val="231F20"/>
          <w:spacing w:val="15"/>
        </w:rPr>
        <w:t> </w:t>
      </w:r>
      <w:r>
        <w:rPr>
          <w:color w:val="231F20"/>
          <w:spacing w:val="-5"/>
        </w:rPr>
        <w:t>PV.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Les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mesures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servent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ensuite</w:t>
      </w:r>
      <w:r>
        <w:rPr>
          <w:color w:val="231F20"/>
          <w:spacing w:val="17"/>
        </w:rPr>
        <w:t> </w:t>
      </w:r>
      <w:r>
        <w:rPr>
          <w:color w:val="231F20"/>
        </w:rPr>
        <w:t>à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optimaliser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l’installation</w:t>
      </w:r>
      <w:r>
        <w:rPr>
          <w:color w:val="231F20"/>
          <w:spacing w:val="17"/>
        </w:rPr>
        <w:t> </w:t>
      </w:r>
      <w:r>
        <w:rPr>
          <w:color w:val="231F20"/>
        </w:rPr>
        <w:t>PV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24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kWc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étudier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l’effet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différentes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couleurs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sur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performance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PV.</w:t>
      </w:r>
      <w:r>
        <w:rPr>
          <w:i w:val="0"/>
        </w:rPr>
      </w:r>
    </w:p>
    <w:p>
      <w:pPr>
        <w:pStyle w:val="BodyText"/>
        <w:spacing w:line="230" w:lineRule="exact"/>
        <w:ind w:right="4"/>
        <w:jc w:val="both"/>
        <w:rPr>
          <w:i w:val="0"/>
        </w:rPr>
      </w:pPr>
      <w:r>
        <w:rPr>
          <w:color w:val="231F20"/>
          <w:spacing w:val="-1"/>
        </w:rPr>
        <w:t>Pour</w:t>
      </w:r>
      <w:r>
        <w:rPr>
          <w:color w:val="231F20"/>
          <w:spacing w:val="42"/>
        </w:rPr>
        <w:t> </w:t>
      </w:r>
      <w:r>
        <w:rPr>
          <w:color w:val="231F20"/>
        </w:rPr>
        <w:t>la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coexistence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bâtiments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alentour,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qualité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conception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l’ins-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tallation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PV,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mise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œuvre</w:t>
      </w:r>
      <w:r>
        <w:rPr>
          <w:color w:val="231F20"/>
          <w:spacing w:val="36"/>
        </w:rPr>
        <w:t> </w:t>
      </w:r>
      <w:r>
        <w:rPr>
          <w:color w:val="231F20"/>
        </w:rPr>
        <w:t>du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concept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énergétique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sur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site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surveillance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qualité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l’énergie,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«Kohlesilo»</w:t>
      </w:r>
      <w:r>
        <w:rPr>
          <w:color w:val="231F20"/>
          <w:spacing w:val="17"/>
        </w:rPr>
        <w:t> </w:t>
      </w:r>
      <w:r>
        <w:rPr>
          <w:color w:val="231F20"/>
        </w:rPr>
        <w:t>à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Bâle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reçoit</w:t>
      </w:r>
      <w:r>
        <w:rPr>
          <w:color w:val="231F20"/>
          <w:spacing w:val="-2"/>
        </w:rPr>
        <w:t> le </w:t>
      </w:r>
      <w:r>
        <w:rPr>
          <w:color w:val="231F20"/>
          <w:spacing w:val="-1"/>
        </w:rPr>
        <w:t>Prix</w:t>
      </w:r>
      <w:r>
        <w:rPr>
          <w:color w:val="231F20"/>
          <w:spacing w:val="-2"/>
        </w:rPr>
        <w:t> Solaire </w:t>
      </w:r>
      <w:r>
        <w:rPr>
          <w:color w:val="231F20"/>
          <w:spacing w:val="-1"/>
        </w:rPr>
        <w:t>Suisse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2015.</w:t>
      </w:r>
      <w:r>
        <w:rPr>
          <w:i w:val="0"/>
        </w:rPr>
      </w:r>
    </w:p>
    <w:p>
      <w:pPr>
        <w:tabs>
          <w:tab w:pos="3438" w:val="left" w:leader="none"/>
        </w:tabs>
        <w:spacing w:before="73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z w:val="14"/>
          <w:u w:val="dotted" w:color="231F20"/>
        </w:rPr>
        <w:t>Technische </w:t>
      </w:r>
      <w:r>
        <w:rPr>
          <w:rFonts w:ascii="Theinhardt Black"/>
          <w:b/>
          <w:color w:val="231F20"/>
          <w:spacing w:val="1"/>
          <w:sz w:val="14"/>
          <w:u w:val="dotted" w:color="231F20"/>
        </w:rPr>
        <w:t>Daten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72" w:lineRule="exact" w:before="4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297" w:val="left" w:leader="none"/>
          <w:tab w:pos="191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20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99" w:val="left" w:leader="none"/>
          <w:tab w:pos="1914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2.76181pt;margin-top:6.840833pt;width:161.5pt;height:18.4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6"/>
                    <w:gridCol w:w="903"/>
                    <w:gridCol w:w="1481"/>
                  </w:tblGrid>
                  <w:tr>
                    <w:trPr>
                      <w:trHeight w:val="190" w:hRule="exact"/>
                    </w:trPr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 w:before="10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Boden: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 w:before="10"/>
                          <w:ind w:left="48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7 </w:t>
                        </w: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c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 w:before="10"/>
                          <w:ind w:left="11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0.49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55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Fenster: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28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dreifach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113" w:right="0"/>
                          <w:jc w:val="left"/>
                          <w:rPr>
                            <w:rFonts w:ascii="Theinhardt Regular" w:hAnsi="Theinhardt Regular" w:cs="Theinhardt Regular" w:eastAsia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  </w:t>
                        </w:r>
                        <w:r>
                          <w:rPr>
                            <w:rFonts w:ascii="Theinhardt Regular"/>
                            <w:color w:val="231F20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1.3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  <w:r>
                          <w:rPr>
                            <w:rFonts w:ascii="Theinhardt Regular"/>
                            <w:sz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14"/>
          <w:szCs w:val="14"/>
        </w:rPr>
      </w:pPr>
    </w:p>
    <w:p>
      <w:pPr>
        <w:spacing w:line="240" w:lineRule="auto" w:before="12"/>
        <w:rPr>
          <w:rFonts w:ascii="Theinhardt Regular" w:hAnsi="Theinhardt Regular" w:cs="Theinhardt Regular" w:eastAsia="Theinhardt Regular"/>
          <w:sz w:val="12"/>
          <w:szCs w:val="12"/>
        </w:rPr>
      </w:pPr>
    </w:p>
    <w:p>
      <w:pPr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vor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[100%]</w:t>
      </w:r>
      <w:r>
        <w:rPr>
          <w:rFonts w:ascii="Theinhardt Bold"/>
          <w:sz w:val="14"/>
        </w:rPr>
      </w:r>
    </w:p>
    <w:p>
      <w:pPr>
        <w:tabs>
          <w:tab w:pos="1519" w:val="left" w:leader="none"/>
          <w:tab w:pos="1845" w:val="left" w:leader="none"/>
          <w:tab w:pos="2418" w:val="left" w:leader="none"/>
          <w:tab w:pos="2781" w:val="left" w:leader="none"/>
          <w:tab w:pos="2824" w:val="left" w:leader="none"/>
        </w:tabs>
        <w:spacing w:line="207" w:lineRule="auto" w:before="5"/>
        <w:ind w:left="106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390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Heizung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(Fernwärme):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139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92.4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54’100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95" w:val="left" w:leader="none"/>
          <w:tab w:pos="2355" w:val="left" w:leader="none"/>
          <w:tab w:pos="3226" w:val="righ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Warmwasser:</w:t>
        <w:tab/>
      </w:r>
      <w:r>
        <w:rPr>
          <w:rFonts w:ascii="Theinhardt Regular"/>
          <w:color w:val="231F20"/>
          <w:spacing w:val="-4"/>
          <w:sz w:val="14"/>
        </w:rPr>
        <w:t>0.1</w:t>
        <w:tab/>
        <w:t>0.1</w:t>
        <w:tab/>
      </w:r>
      <w:r>
        <w:rPr>
          <w:rFonts w:ascii="Theinhardt Regular"/>
          <w:color w:val="231F20"/>
          <w:spacing w:val="1"/>
          <w:sz w:val="14"/>
        </w:rPr>
        <w:t>60</w:t>
      </w:r>
      <w:r>
        <w:rPr>
          <w:rFonts w:ascii="Theinhardt Regular"/>
          <w:sz w:val="14"/>
        </w:rPr>
      </w:r>
    </w:p>
    <w:p>
      <w:pPr>
        <w:tabs>
          <w:tab w:pos="1933" w:val="left" w:leader="none"/>
          <w:tab w:pos="2352" w:val="left" w:leader="none"/>
          <w:tab w:pos="2863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7"/>
          <w:sz w:val="14"/>
          <w:szCs w:val="14"/>
        </w:rPr>
        <w:t>11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7.5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4’377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725" w:val="left" w:leader="none"/>
          <w:tab w:pos="2299" w:val="left" w:leader="none"/>
          <w:tab w:pos="2764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150.1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58’537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> [76%]</w:t>
      </w:r>
      <w:r>
        <w:rPr>
          <w:rFonts w:ascii="Theinhardt Bold"/>
          <w:sz w:val="14"/>
        </w:rPr>
      </w:r>
    </w:p>
    <w:p>
      <w:pPr>
        <w:tabs>
          <w:tab w:pos="1519" w:val="left" w:leader="none"/>
          <w:tab w:pos="1924" w:val="left" w:leader="none"/>
          <w:tab w:pos="2381" w:val="left" w:leader="none"/>
          <w:tab w:pos="2418" w:val="left" w:leader="none"/>
          <w:tab w:pos="2773" w:val="left" w:leader="none"/>
          <w:tab w:pos="2824" w:val="left" w:leader="none"/>
        </w:tabs>
        <w:spacing w:line="207" w:lineRule="auto" w:before="5"/>
        <w:ind w:left="106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673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Heizung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(Fernwärme):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52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79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34’996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04" w:val="left" w:leader="none"/>
          <w:tab w:pos="2464" w:val="left" w:leader="none"/>
          <w:tab w:pos="2865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Warmwasser: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3</w:t>
        <w:tab/>
        <w:t>4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2’019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33" w:val="left" w:leader="none"/>
          <w:tab w:pos="2391" w:val="left" w:leader="none"/>
          <w:tab w:pos="286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7"/>
          <w:sz w:val="14"/>
          <w:szCs w:val="14"/>
        </w:rPr>
        <w:t>11</w:t>
        <w:tab/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17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7’403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18" w:val="left" w:leader="none"/>
          <w:tab w:pos="2299" w:val="left" w:leader="none"/>
          <w:tab w:pos="2783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66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44’418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Energieversorgung*</w:t>
      </w:r>
      <w:r>
        <w:rPr>
          <w:rFonts w:ascii="Theinhardt Bold"/>
          <w:sz w:val="14"/>
        </w:rPr>
      </w:r>
    </w:p>
    <w:p>
      <w:pPr>
        <w:tabs>
          <w:tab w:pos="1845" w:val="left" w:leader="none"/>
          <w:tab w:pos="2382" w:val="left" w:leader="none"/>
          <w:tab w:pos="2418" w:val="left" w:leader="none"/>
          <w:tab w:pos="2794" w:val="left" w:leader="none"/>
          <w:tab w:pos="2824" w:val="left" w:leader="none"/>
        </w:tabs>
        <w:spacing w:line="207" w:lineRule="auto" w:before="5"/>
        <w:ind w:left="106" w:right="33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82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12.8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139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26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11’400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20" w:val="left" w:leader="none"/>
          <w:tab w:pos="2394" w:val="left" w:leader="none"/>
          <w:tab w:pos="2851" w:val="left" w:leader="none"/>
        </w:tabs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Fass.: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77 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11.2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65</w:t>
        <w:tab/>
      </w:r>
      <w:r>
        <w:rPr>
          <w:rFonts w:ascii="Theinhardt Regular" w:hAnsi="Theinhardt Regular" w:cs="Theinhardt Regular" w:eastAsia="Theinhardt Regular"/>
          <w:color w:val="231F20"/>
          <w:spacing w:val="-7"/>
          <w:sz w:val="14"/>
          <w:szCs w:val="14"/>
        </w:rPr>
        <w:t>11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5’000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81" w:val="left" w:leader="none"/>
          <w:tab w:pos="2772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37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16’400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8" w:val="left" w:leader="none"/>
          <w:tab w:pos="2824" w:val="left" w:leader="none"/>
        </w:tabs>
        <w:spacing w:line="172" w:lineRule="exact" w:before="3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381" w:val="left" w:leader="none"/>
          <w:tab w:pos="2772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37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16’400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9" w:val="left" w:leader="none"/>
          <w:tab w:pos="2783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44’418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78" w:val="left" w:leader="none"/>
          <w:tab w:pos="276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Fremdenergiezufuhr: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63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28’018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07" w:lineRule="auto" w:before="5"/>
        <w:ind w:left="333" w:right="473" w:hanging="227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*   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Geschätzt,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Jury-Interesse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liegt</w:t>
      </w:r>
      <w:r>
        <w:rPr>
          <w:rFonts w:ascii="Theinhardt Regular" w:hAnsi="Theinhardt Regular"/>
          <w:color w:val="231F20"/>
          <w:sz w:val="14"/>
        </w:rPr>
        <w:t> an </w:t>
      </w:r>
      <w:r>
        <w:rPr>
          <w:rFonts w:ascii="Theinhardt Regular" w:hAnsi="Theinhardt Regular"/>
          <w:color w:val="231F20"/>
          <w:spacing w:val="1"/>
          <w:sz w:val="14"/>
        </w:rPr>
        <w:t>den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neuen</w:t>
      </w:r>
      <w:r>
        <w:rPr>
          <w:rFonts w:ascii="Theinhardt Regular" w:hAnsi="Theinhardt Regular"/>
          <w:color w:val="231F20"/>
          <w:spacing w:val="5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PV-Farben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49"/>
        <w:ind w:left="106" w:right="85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IWB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16.06.2015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Hannah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Greifzu,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061 </w:t>
      </w:r>
      <w:r>
        <w:rPr>
          <w:rFonts w:ascii="Theinhardt Regular" w:hAnsi="Theinhardt Regular"/>
          <w:color w:val="231F20"/>
          <w:spacing w:val="-1"/>
          <w:sz w:val="14"/>
        </w:rPr>
        <w:t>275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5"/>
          <w:sz w:val="14"/>
        </w:rPr>
        <w:t>51</w:t>
      </w:r>
      <w:r>
        <w:rPr>
          <w:rFonts w:ascii="Theinhardt Regular" w:hAnsi="Theinhardt Regular"/>
          <w:color w:val="231F20"/>
          <w:sz w:val="14"/>
        </w:rPr>
        <w:t> 56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Gebäudes: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6" w:right="5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Gundeldinger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Feld,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Dornacherstrasse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192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4053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Basel,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061 333 </w:t>
      </w:r>
      <w:r>
        <w:rPr>
          <w:rFonts w:ascii="Theinhardt Regular"/>
          <w:color w:val="231F20"/>
          <w:spacing w:val="-1"/>
          <w:sz w:val="14"/>
        </w:rPr>
        <w:t>70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70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5">
        <w:r>
          <w:rPr>
            <w:rFonts w:ascii="Theinhardt Regular"/>
            <w:color w:val="231F20"/>
            <w:spacing w:val="1"/>
            <w:sz w:val="14"/>
          </w:rPr>
          <w:t>info@kantensprung.ch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B</w:t>
      </w:r>
      <w:r>
        <w:rPr>
          <w:rFonts w:ascii="Theinhardt Bold"/>
          <w:b/>
          <w:color w:val="231F20"/>
          <w:spacing w:val="1"/>
          <w:sz w:val="14"/>
        </w:rPr>
        <w:t>au</w:t>
      </w:r>
      <w:r>
        <w:rPr>
          <w:rFonts w:ascii="Theinhardt Bold"/>
          <w:b/>
          <w:color w:val="231F20"/>
          <w:spacing w:val="2"/>
          <w:sz w:val="14"/>
        </w:rPr>
        <w:t>he</w:t>
      </w:r>
      <w:r>
        <w:rPr>
          <w:rFonts w:ascii="Theinhardt Bold"/>
          <w:b/>
          <w:color w:val="231F20"/>
          <w:spacing w:val="1"/>
          <w:sz w:val="14"/>
        </w:rPr>
        <w:t>r</w:t>
      </w:r>
      <w:r>
        <w:rPr>
          <w:rFonts w:ascii="Theinhardt Bold"/>
          <w:b/>
          <w:color w:val="231F20"/>
          <w:spacing w:val="2"/>
          <w:sz w:val="14"/>
        </w:rPr>
        <w:t>rs</w:t>
      </w:r>
      <w:r>
        <w:rPr>
          <w:rFonts w:ascii="Theinhardt Bold"/>
          <w:b/>
          <w:color w:val="231F20"/>
          <w:spacing w:val="3"/>
          <w:sz w:val="14"/>
        </w:rPr>
        <w:t>c</w:t>
      </w:r>
      <w:r>
        <w:rPr>
          <w:rFonts w:ascii="Theinhardt Bold"/>
          <w:b/>
          <w:color w:val="231F20"/>
          <w:spacing w:val="2"/>
          <w:sz w:val="14"/>
        </w:rPr>
        <w:t>h</w:t>
      </w:r>
      <w:r>
        <w:rPr>
          <w:rFonts w:ascii="Theinhardt Bold"/>
          <w:b/>
          <w:color w:val="231F20"/>
          <w:spacing w:val="1"/>
          <w:sz w:val="14"/>
        </w:rPr>
        <w:t>a</w:t>
      </w:r>
      <w:r>
        <w:rPr>
          <w:rFonts w:ascii="Theinhardt Bold"/>
          <w:b/>
          <w:color w:val="231F20"/>
          <w:spacing w:val="5"/>
          <w:sz w:val="14"/>
        </w:rPr>
        <w:t>f</w:t>
      </w:r>
      <w:r>
        <w:rPr>
          <w:rFonts w:ascii="Theinhardt Bold"/>
          <w:b/>
          <w:color w:val="231F20"/>
          <w:spacing w:val="3"/>
          <w:sz w:val="14"/>
        </w:rPr>
        <w:t>t</w:t>
      </w:r>
      <w:r>
        <w:rPr>
          <w:rFonts w:ascii="Theinhardt Bold"/>
          <w:b/>
          <w:color w:val="231F20"/>
          <w:sz w:val="14"/>
        </w:rPr>
        <w:t>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Kantensprung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2"/>
          <w:sz w:val="14"/>
        </w:rPr>
        <w:t>Dornacherstrasse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192,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4053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Basel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061 333 </w:t>
      </w:r>
      <w:r>
        <w:rPr>
          <w:rFonts w:ascii="Theinhardt Regular"/>
          <w:color w:val="231F20"/>
          <w:spacing w:val="-1"/>
          <w:sz w:val="14"/>
        </w:rPr>
        <w:t>70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70</w:t>
      </w:r>
      <w:hyperlink r:id="rId5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info@kantensprung.ch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43"/>
        <w:ind w:left="106" w:right="51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Architektur,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Planung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Ausführung: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Baubüro</w:t>
      </w:r>
      <w:r>
        <w:rPr>
          <w:rFonts w:ascii="Theinhardt Regular" w:hAnsi="Theinhardt Regular"/>
          <w:color w:val="231F20"/>
          <w:sz w:val="14"/>
        </w:rPr>
        <w:t> in </w:t>
      </w:r>
      <w:r>
        <w:rPr>
          <w:rFonts w:ascii="Theinhardt Regular" w:hAnsi="Theinhardt Regular"/>
          <w:color w:val="231F20"/>
          <w:spacing w:val="1"/>
          <w:sz w:val="14"/>
        </w:rPr>
        <w:t>situ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Dornacherstrasse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192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4053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Basel,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061 </w:t>
      </w:r>
      <w:r>
        <w:rPr>
          <w:rFonts w:ascii="Theinhardt Regular" w:hAnsi="Theinhardt Regular"/>
          <w:color w:val="231F20"/>
          <w:spacing w:val="-1"/>
          <w:sz w:val="14"/>
        </w:rPr>
        <w:t>337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00</w:t>
      </w:r>
      <w:hyperlink r:id="rId6">
        <w:r>
          <w:rPr>
            <w:rFonts w:ascii="Theinhardt Regular" w:hAnsi="Theinhardt Regular"/>
            <w:color w:val="231F20"/>
            <w:spacing w:val="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info@insitu.ch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5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Photovoltaik: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41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Solvatec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2"/>
          <w:sz w:val="14"/>
        </w:rPr>
        <w:t>Bordeaux-Strasse</w:t>
      </w:r>
      <w:r>
        <w:rPr>
          <w:rFonts w:ascii="Theinhardt Regular"/>
          <w:color w:val="231F20"/>
          <w:sz w:val="14"/>
        </w:rPr>
        <w:t> 5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4053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Base</w:t>
      </w:r>
      <w:hyperlink r:id="rId7">
        <w:r>
          <w:rPr>
            <w:rFonts w:ascii="Theinhardt Regular"/>
            <w:color w:val="231F20"/>
            <w:spacing w:val="2"/>
            <w:sz w:val="14"/>
          </w:rPr>
          <w:t>l,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info@solvatec.ch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49"/>
        <w:ind w:left="106" w:right="5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21.102097pt;width:167.25pt;height:.45pt;mso-position-horizontal-relative:page;mso-position-vertical-relative:paragraph;z-index:1192" coordorigin="7710,422" coordsize="3345,9">
            <v:group style="position:absolute;left:7732;top:426;width:3311;height:2" coordorigin="7732,426" coordsize="3311,2">
              <v:shape style="position:absolute;left:7732;top:426;width:3311;height:2" coordorigin="7732,426" coordsize="3311,0" path="m7732,426l11042,426e" filled="false" stroked="true" strokeweight=".425pt" strokecolor="#231f20">
                <v:path arrowok="t"/>
                <v:stroke dashstyle="dash"/>
              </v:shape>
            </v:group>
            <v:group style="position:absolute;left:7714;top:426;width:2;height:2" coordorigin="7714,426" coordsize="2,2">
              <v:shape style="position:absolute;left:7714;top:426;width:2;height:2" coordorigin="7714,426" coordsize="0,0" path="m7714,426l7714,426e" filled="false" stroked="true" strokeweight=".425pt" strokecolor="#231f20">
                <v:path arrowok="t"/>
              </v:shape>
            </v:group>
            <v:group style="position:absolute;left:11051;top:426;width:2;height:2" coordorigin="11051,426" coordsize="2,2">
              <v:shape style="position:absolute;left:11051;top:426;width:2;height:2" coordorigin="11051,426" coordsize="0,0" path="m11051,426l11051,426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1"/>
          <w:sz w:val="14"/>
        </w:rPr>
        <w:t>Swiss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Inso,</w:t>
      </w:r>
      <w:r>
        <w:rPr>
          <w:rFonts w:ascii="Theinhardt Regular"/>
          <w:color w:val="231F20"/>
          <w:sz w:val="14"/>
        </w:rPr>
        <w:t> EPFL-PSE - </w:t>
      </w:r>
      <w:r>
        <w:rPr>
          <w:rFonts w:ascii="Theinhardt Regular"/>
          <w:color w:val="231F20"/>
          <w:spacing w:val="1"/>
          <w:sz w:val="14"/>
        </w:rPr>
        <w:t>Avenue</w:t>
      </w:r>
      <w:r>
        <w:rPr>
          <w:rFonts w:ascii="Theinhardt Regular"/>
          <w:color w:val="231F20"/>
          <w:sz w:val="14"/>
        </w:rPr>
        <w:t> J.-D. </w:t>
      </w:r>
      <w:r>
        <w:rPr>
          <w:rFonts w:ascii="Theinhardt Regular"/>
          <w:color w:val="231F20"/>
          <w:spacing w:val="1"/>
          <w:sz w:val="14"/>
        </w:rPr>
        <w:t>Colladon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1015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Lausanne</w:t>
      </w:r>
      <w:hyperlink r:id="rId8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info@swissinso.com</w:t>
        </w:r>
        <w:r>
          <w:rPr>
            <w:rFonts w:ascii="Theinhardt Regular"/>
            <w:sz w:val="14"/>
          </w:rPr>
        </w:r>
      </w:hyperlink>
    </w:p>
    <w:p>
      <w:pPr>
        <w:spacing w:after="0" w:line="160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60" w:space="112"/>
            <w:col w:w="356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26"/>
          <w:szCs w:val="26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84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57893" cy="46695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893" cy="466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8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456895" cy="3356419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895" cy="33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13"/>
          <w:szCs w:val="13"/>
        </w:rPr>
      </w:pPr>
    </w:p>
    <w:p>
      <w:pPr>
        <w:spacing w:before="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1910" w:h="16840"/>
          <w:pgMar w:top="860" w:bottom="280" w:left="740" w:right="460"/>
        </w:sectPr>
      </w:pP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5"/>
          <w:szCs w:val="15"/>
        </w:r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Südansicht des sanierten </w:t>
      </w:r>
      <w:r>
        <w:rPr>
          <w:rFonts w:ascii="Theinhardt Bold" w:hAnsi="Theinhardt Bold"/>
          <w:b/>
          <w:color w:val="231F20"/>
          <w:spacing w:val="-1"/>
          <w:sz w:val="14"/>
        </w:rPr>
        <w:t>Kohlesilos</w:t>
      </w:r>
      <w:r>
        <w:rPr>
          <w:rFonts w:ascii="Theinhardt Bold" w:hAnsi="Theinhardt Bold"/>
          <w:b/>
          <w:color w:val="231F20"/>
          <w:sz w:val="14"/>
        </w:rPr>
        <w:t> in Basel-</w:t>
      </w:r>
      <w:r>
        <w:rPr>
          <w:rFonts w:ascii="Theinhardt Bold" w:hAnsi="Theinhardt Bold"/>
          <w:b/>
          <w:color w:val="231F20"/>
          <w:spacing w:val="2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Stadt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mit </w:t>
      </w:r>
      <w:r>
        <w:rPr>
          <w:rFonts w:ascii="Theinhardt Bold" w:hAnsi="Theinhardt Bold"/>
          <w:b/>
          <w:color w:val="231F20"/>
          <w:spacing w:val="-1"/>
          <w:sz w:val="14"/>
        </w:rPr>
        <w:t>der </w:t>
      </w:r>
      <w:r>
        <w:rPr>
          <w:rFonts w:ascii="Theinhardt Bold" w:hAnsi="Theinhardt Bold"/>
          <w:b/>
          <w:color w:val="231F20"/>
          <w:sz w:val="14"/>
        </w:rPr>
        <w:t>vierfarbigen,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vollflächig integrier-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ten </w:t>
      </w:r>
      <w:r>
        <w:rPr>
          <w:rFonts w:ascii="Theinhardt Bold" w:hAnsi="Theinhardt Bold"/>
          <w:b/>
          <w:color w:val="231F20"/>
          <w:spacing w:val="-1"/>
          <w:sz w:val="14"/>
        </w:rPr>
        <w:t>PV-Fassade</w:t>
      </w:r>
      <w:r>
        <w:rPr>
          <w:rFonts w:ascii="Theinhardt Bold" w:hAnsi="Theinhardt Bold"/>
          <w:b/>
          <w:color w:val="231F20"/>
          <w:sz w:val="14"/>
        </w:rPr>
        <w:t> aus </w:t>
      </w:r>
      <w:r>
        <w:rPr>
          <w:rFonts w:ascii="Theinhardt Bold" w:hAnsi="Theinhardt Bold"/>
          <w:b/>
          <w:color w:val="231F20"/>
          <w:spacing w:val="-1"/>
          <w:sz w:val="14"/>
        </w:rPr>
        <w:t>monokristallinen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Zellen.</w:t>
      </w:r>
      <w:r>
        <w:rPr>
          <w:rFonts w:ascii="Theinhardt Bold" w:hAnsi="Theinhardt Bold"/>
          <w:sz w:val="14"/>
        </w:rPr>
      </w: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5"/>
          <w:szCs w:val="15"/>
        </w:rPr>
      </w:pPr>
      <w:r>
        <w:rPr/>
        <w:br w:type="column"/>
      </w:r>
      <w:r>
        <w:rPr>
          <w:rFonts w:ascii="Theinhardt Bold"/>
          <w:b/>
          <w:sz w:val="15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3954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</w:t>
      </w:r>
      <w:r>
        <w:rPr>
          <w:rFonts w:ascii="Theinhardt Bold" w:hAnsi="Theinhardt Bold"/>
          <w:b/>
          <w:color w:val="231F20"/>
          <w:spacing w:val="-1"/>
          <w:sz w:val="14"/>
        </w:rPr>
        <w:t>sorgfältig</w:t>
      </w:r>
      <w:r>
        <w:rPr>
          <w:rFonts w:ascii="Theinhardt Bold" w:hAnsi="Theinhardt Bold"/>
          <w:b/>
          <w:color w:val="231F20"/>
          <w:sz w:val="14"/>
        </w:rPr>
        <w:t> integrierte PV-Anlage auf </w:t>
      </w:r>
      <w:r>
        <w:rPr>
          <w:rFonts w:ascii="Theinhardt Bold" w:hAnsi="Theinhardt Bold"/>
          <w:b/>
          <w:color w:val="231F20"/>
          <w:spacing w:val="-1"/>
          <w:sz w:val="14"/>
        </w:rPr>
        <w:t>dem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Dach des </w:t>
      </w:r>
      <w:r>
        <w:rPr>
          <w:rFonts w:ascii="Theinhardt Bold" w:hAnsi="Theinhardt Bold"/>
          <w:b/>
          <w:color w:val="231F20"/>
          <w:spacing w:val="-1"/>
          <w:sz w:val="14"/>
        </w:rPr>
        <w:t>Kohlesilos</w:t>
      </w:r>
      <w:r>
        <w:rPr>
          <w:rFonts w:ascii="Theinhardt Bold" w:hAnsi="Theinhardt Bold"/>
          <w:b/>
          <w:color w:val="231F20"/>
          <w:sz w:val="14"/>
        </w:rPr>
        <w:t> mit </w:t>
      </w:r>
      <w:r>
        <w:rPr>
          <w:rFonts w:ascii="Theinhardt Bold" w:hAnsi="Theinhardt Bold"/>
          <w:b/>
          <w:color w:val="231F20"/>
          <w:spacing w:val="-1"/>
          <w:sz w:val="14"/>
        </w:rPr>
        <w:t>monokristallinen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337" w:right="3838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PV-Modulen</w:t>
      </w:r>
      <w:r>
        <w:rPr>
          <w:rFonts w:ascii="Theinhardt Bold" w:hAnsi="Theinhardt Bold"/>
          <w:b/>
          <w:color w:val="231F20"/>
          <w:sz w:val="14"/>
        </w:rPr>
        <w:t> in fünf </w:t>
      </w:r>
      <w:r>
        <w:rPr>
          <w:rFonts w:ascii="Theinhardt Bold" w:hAnsi="Theinhardt Bold"/>
          <w:b/>
          <w:color w:val="231F20"/>
          <w:spacing w:val="-1"/>
          <w:sz w:val="14"/>
        </w:rPr>
        <w:t>verschiedenen</w:t>
      </w:r>
      <w:r>
        <w:rPr>
          <w:rFonts w:ascii="Theinhardt Bold" w:hAnsi="Theinhardt Bold"/>
          <w:b/>
          <w:color w:val="231F20"/>
          <w:sz w:val="14"/>
        </w:rPr>
        <w:t> Farben und</w:t>
      </w:r>
      <w:r>
        <w:rPr>
          <w:rFonts w:ascii="Theinhardt Bold" w:hAnsi="Theinhardt Bold"/>
          <w:b/>
          <w:color w:val="231F20"/>
          <w:spacing w:val="4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Standard-Modulen zum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Vergleich.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2" w:equalWidth="0">
            <w:col w:w="3371" w:space="200"/>
            <w:col w:w="7139"/>
          </w:cols>
        </w:sect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85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3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0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5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6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4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06" w:firstLine="22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kantensprung.ch" TargetMode="External"/><Relationship Id="rId6" Type="http://schemas.openxmlformats.org/officeDocument/2006/relationships/hyperlink" Target="mailto:info@insitu.ch" TargetMode="External"/><Relationship Id="rId7" Type="http://schemas.openxmlformats.org/officeDocument/2006/relationships/hyperlink" Target="mailto:info@solvatec.ch" TargetMode="External"/><Relationship Id="rId8" Type="http://schemas.openxmlformats.org/officeDocument/2006/relationships/hyperlink" Target="mailto:info@swissinso.com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2015-09-02T12:04:56Z</dcterms:created>
  <dcterms:modified xsi:type="dcterms:W3CDTF">2015-09-02T12:04:56Z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