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3664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44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647207pt;width:.1pt;height:.1pt;mso-position-horizontal-relative:page;mso-position-vertical-relative:paragraph;z-index:-3616" coordorigin="571,513" coordsize="2,2">
            <v:shape style="position:absolute;left:571;top:513;width:2;height:2" coordorigin="571,513" coordsize="0,0" path="m571,513l57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647207pt;width:.1pt;height:.1pt;mso-position-horizontal-relative:page;mso-position-vertical-relative:paragraph;z-index:1192" coordorigin="3015,513" coordsize="2,2">
            <v:shape style="position:absolute;left:3015;top:513;width:2;height:2" coordorigin="3015,513" coordsize="0,0" path="m3015,513l301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Catégo</w:t>
      </w:r>
      <w:r>
        <w:rPr>
          <w:rFonts w:ascii="Theinhardt Heavy" w:hAnsi="Theinhardt Heavy"/>
          <w:b/>
          <w:color w:val="231F20"/>
          <w:spacing w:val="1"/>
          <w:sz w:val="18"/>
          <w:u w:val="dotted" w:color="231F20"/>
        </w:rPr>
        <w:t>rie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          A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z w:val="18"/>
        </w:rPr>
        <w:t> </w:t>
      </w:r>
      <w:r>
        <w:rPr>
          <w:rFonts w:ascii="Theinhardt Black" w:hAnsi="Theinhardt Black"/>
          <w:b/>
          <w:color w:val="231F20"/>
          <w:spacing w:val="2"/>
          <w:sz w:val="18"/>
          <w:u w:val="dotted" w:color="231F20"/>
        </w:rPr>
        <w:t>Institutions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Prix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Solaire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L’engagement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Ville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Genève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dans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soutien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développement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énergies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renouve-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lables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est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fruit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concrétisation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visions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ambitieuses.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titre,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elle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été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récompensée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à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deux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reprises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haute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distinction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cadre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«Cités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l’Énergie».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Résultat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d’efforts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déployés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long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terme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dans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mise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œuvre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d’une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politique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visant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réduction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dépendance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aux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énergies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fossiles,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elle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dispose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aujourd’hui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45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installations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solaires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thermiques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installations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solaires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photovoltaïques.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L’ensemble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installations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con-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struites jusqu’ici sur ses bâtiments municipaux permet de générer 340’000 kWh/a électriques.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outre,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2007,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elle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s’est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fixé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l’objectif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d’avoir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parc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immobilier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100%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renouvelable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2050.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Ville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créé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cela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«Fonds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climat»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dédié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grande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partie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finance-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ment de nouvelles installations.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Ville de Genève, 1204 </w:t>
      </w:r>
      <w:r>
        <w:rPr>
          <w:rFonts w:ascii="Theinhardt Black" w:hAnsi="Theinhardt Black"/>
          <w:b/>
          <w:color w:val="0067B1"/>
          <w:spacing w:val="-2"/>
          <w:sz w:val="40"/>
        </w:rPr>
        <w:t>Genève/GE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En</w:t>
      </w:r>
      <w:r>
        <w:rPr>
          <w:color w:val="231F20"/>
          <w:spacing w:val="40"/>
        </w:rPr>
        <w:t> </w:t>
      </w:r>
      <w:r>
        <w:rPr>
          <w:color w:val="231F20"/>
        </w:rPr>
        <w:t>1982,</w:t>
      </w:r>
      <w:r>
        <w:rPr>
          <w:color w:val="231F20"/>
          <w:spacing w:val="41"/>
        </w:rPr>
        <w:t> </w:t>
      </w:r>
      <w:r>
        <w:rPr>
          <w:color w:val="231F20"/>
        </w:rPr>
        <w:t>Genève</w:t>
      </w:r>
      <w:r>
        <w:rPr>
          <w:color w:val="231F20"/>
          <w:spacing w:val="40"/>
        </w:rPr>
        <w:t> </w:t>
      </w:r>
      <w:r>
        <w:rPr>
          <w:color w:val="231F20"/>
        </w:rPr>
        <w:t>inaugurait</w:t>
      </w:r>
      <w:r>
        <w:rPr>
          <w:color w:val="231F20"/>
          <w:spacing w:val="41"/>
        </w:rPr>
        <w:t> </w:t>
      </w:r>
      <w:r>
        <w:rPr>
          <w:color w:val="231F20"/>
        </w:rPr>
        <w:t>sa</w:t>
      </w:r>
      <w:r>
        <w:rPr>
          <w:color w:val="231F20"/>
          <w:spacing w:val="41"/>
        </w:rPr>
        <w:t> </w:t>
      </w:r>
      <w:r>
        <w:rPr>
          <w:color w:val="231F20"/>
        </w:rPr>
        <w:t>première</w:t>
      </w:r>
      <w:r>
        <w:rPr>
          <w:color w:val="231F20"/>
        </w:rPr>
        <w:t> installation</w:t>
      </w:r>
      <w:r>
        <w:rPr>
          <w:color w:val="231F20"/>
          <w:spacing w:val="7"/>
        </w:rPr>
        <w:t> </w:t>
      </w:r>
      <w:r>
        <w:rPr>
          <w:color w:val="231F20"/>
        </w:rPr>
        <w:t>solaire</w:t>
      </w:r>
      <w:r>
        <w:rPr>
          <w:color w:val="231F20"/>
          <w:spacing w:val="7"/>
        </w:rPr>
        <w:t> </w:t>
      </w:r>
      <w:r>
        <w:rPr>
          <w:color w:val="231F20"/>
        </w:rPr>
        <w:t>thermique</w:t>
      </w:r>
      <w:r>
        <w:rPr>
          <w:color w:val="231F20"/>
          <w:spacing w:val="7"/>
        </w:rPr>
        <w:t> </w:t>
      </w:r>
      <w:r>
        <w:rPr>
          <w:color w:val="231F20"/>
        </w:rPr>
        <w:t>d’une</w:t>
      </w:r>
      <w:r>
        <w:rPr>
          <w:color w:val="231F20"/>
          <w:spacing w:val="7"/>
        </w:rPr>
        <w:t> </w:t>
      </w:r>
      <w:r>
        <w:rPr>
          <w:color w:val="231F20"/>
        </w:rPr>
        <w:t>surface</w:t>
      </w:r>
      <w:r>
        <w:rPr>
          <w:color w:val="231F20"/>
        </w:rPr>
        <w:t> de</w:t>
      </w:r>
      <w:r>
        <w:rPr>
          <w:color w:val="231F20"/>
          <w:spacing w:val="8"/>
        </w:rPr>
        <w:t> </w:t>
      </w:r>
      <w:r>
        <w:rPr>
          <w:color w:val="231F20"/>
        </w:rPr>
        <w:t>420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6"/>
          <w:position w:val="6"/>
          <w:sz w:val="10"/>
          <w:szCs w:val="10"/>
        </w:rPr>
        <w:t> </w:t>
      </w:r>
      <w:r>
        <w:rPr>
          <w:color w:val="231F20"/>
        </w:rPr>
        <w:t>au</w:t>
      </w:r>
      <w:r>
        <w:rPr>
          <w:color w:val="231F20"/>
          <w:spacing w:val="8"/>
        </w:rPr>
        <w:t> </w:t>
      </w:r>
      <w:r>
        <w:rPr>
          <w:color w:val="231F20"/>
        </w:rPr>
        <w:t>centre</w:t>
      </w:r>
      <w:r>
        <w:rPr>
          <w:color w:val="231F20"/>
          <w:spacing w:val="9"/>
        </w:rPr>
        <w:t> </w:t>
      </w:r>
      <w:r>
        <w:rPr>
          <w:color w:val="231F20"/>
        </w:rPr>
        <w:t>sportif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Vessy.</w:t>
      </w:r>
      <w:r>
        <w:rPr>
          <w:color w:val="231F20"/>
          <w:spacing w:val="9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ce</w:t>
      </w:r>
      <w:r>
        <w:rPr>
          <w:color w:val="231F20"/>
          <w:spacing w:val="21"/>
        </w:rPr>
        <w:t> </w:t>
      </w:r>
      <w:r>
        <w:rPr>
          <w:color w:val="231F20"/>
        </w:rPr>
        <w:t>jour</w:t>
      </w:r>
      <w:r>
        <w:rPr>
          <w:color w:val="231F20"/>
          <w:spacing w:val="21"/>
        </w:rPr>
        <w:t> </w:t>
      </w:r>
      <w:r>
        <w:rPr>
          <w:color w:val="231F20"/>
        </w:rPr>
        <w:t>et</w:t>
      </w:r>
      <w:r>
        <w:rPr>
          <w:color w:val="231F20"/>
          <w:spacing w:val="21"/>
        </w:rPr>
        <w:t> </w:t>
      </w:r>
      <w:r>
        <w:rPr>
          <w:color w:val="231F20"/>
        </w:rPr>
        <w:t>grâce</w:t>
      </w:r>
      <w:r>
        <w:rPr>
          <w:color w:val="231F20"/>
          <w:spacing w:val="21"/>
        </w:rPr>
        <w:t> </w:t>
      </w:r>
      <w:r>
        <w:rPr>
          <w:color w:val="231F20"/>
        </w:rPr>
        <w:t>à</w:t>
      </w:r>
      <w:r>
        <w:rPr>
          <w:color w:val="231F20"/>
          <w:spacing w:val="21"/>
        </w:rPr>
        <w:t> </w:t>
      </w:r>
      <w:r>
        <w:rPr>
          <w:color w:val="231F20"/>
        </w:rPr>
        <w:t>une</w:t>
      </w:r>
      <w:r>
        <w:rPr>
          <w:color w:val="231F20"/>
          <w:spacing w:val="21"/>
        </w:rPr>
        <w:t> </w:t>
      </w:r>
      <w:r>
        <w:rPr>
          <w:color w:val="231F20"/>
        </w:rPr>
        <w:t>progression</w:t>
      </w:r>
      <w:r>
        <w:rPr>
          <w:color w:val="231F20"/>
          <w:spacing w:val="21"/>
        </w:rPr>
        <w:t> </w:t>
      </w:r>
      <w:r>
        <w:rPr>
          <w:color w:val="231F20"/>
        </w:rPr>
        <w:t>constante</w:t>
      </w:r>
      <w:r>
        <w:rPr>
          <w:color w:val="231F20"/>
        </w:rPr>
        <w:t> de</w:t>
      </w:r>
      <w:r>
        <w:rPr>
          <w:color w:val="231F20"/>
          <w:spacing w:val="-5"/>
        </w:rPr>
        <w:t> </w:t>
      </w:r>
      <w:r>
        <w:rPr>
          <w:color w:val="231F20"/>
        </w:rPr>
        <w:t>leur</w:t>
      </w:r>
      <w:r>
        <w:rPr>
          <w:color w:val="231F20"/>
          <w:spacing w:val="-5"/>
        </w:rPr>
        <w:t> </w:t>
      </w:r>
      <w:r>
        <w:rPr>
          <w:color w:val="231F20"/>
        </w:rPr>
        <w:t>nombre,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Ville</w:t>
      </w:r>
      <w:r>
        <w:rPr>
          <w:color w:val="231F20"/>
          <w:spacing w:val="-5"/>
        </w:rPr>
        <w:t> </w:t>
      </w:r>
      <w:r>
        <w:rPr>
          <w:color w:val="231F20"/>
        </w:rPr>
        <w:t>totalise</w:t>
      </w:r>
      <w:r>
        <w:rPr>
          <w:color w:val="231F20"/>
          <w:spacing w:val="-5"/>
        </w:rPr>
        <w:t> </w:t>
      </w:r>
      <w:r>
        <w:rPr>
          <w:color w:val="231F20"/>
        </w:rPr>
        <w:t>2’272</w:t>
      </w:r>
      <w:r>
        <w:rPr>
          <w:color w:val="231F20"/>
          <w:spacing w:val="-4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-2"/>
          <w:position w:val="6"/>
          <w:sz w:val="10"/>
          <w:szCs w:val="10"/>
        </w:rPr>
        <w:t> </w:t>
      </w:r>
      <w:r>
        <w:rPr>
          <w:color w:val="231F20"/>
        </w:rPr>
        <w:t>de</w:t>
      </w:r>
      <w:r>
        <w:rPr>
          <w:color w:val="231F20"/>
        </w:rPr>
        <w:t> surface</w:t>
      </w:r>
      <w:r>
        <w:rPr>
          <w:color w:val="231F20"/>
          <w:spacing w:val="18"/>
        </w:rPr>
        <w:t> </w:t>
      </w:r>
      <w:r>
        <w:rPr>
          <w:color w:val="231F20"/>
        </w:rPr>
        <w:t>exploitée,</w:t>
      </w:r>
      <w:r>
        <w:rPr>
          <w:color w:val="231F20"/>
          <w:spacing w:val="18"/>
        </w:rPr>
        <w:t> </w:t>
      </w:r>
      <w:r>
        <w:rPr>
          <w:color w:val="231F20"/>
        </w:rPr>
        <w:t>équivalant</w:t>
      </w:r>
      <w:r>
        <w:rPr>
          <w:color w:val="231F20"/>
          <w:spacing w:val="18"/>
        </w:rPr>
        <w:t> </w:t>
      </w:r>
      <w:r>
        <w:rPr>
          <w:color w:val="231F20"/>
        </w:rPr>
        <w:t>à</w:t>
      </w:r>
      <w:r>
        <w:rPr>
          <w:color w:val="231F20"/>
          <w:spacing w:val="18"/>
        </w:rPr>
        <w:t> </w:t>
      </w:r>
      <w:r>
        <w:rPr>
          <w:color w:val="231F20"/>
        </w:rPr>
        <w:t>une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écono-</w:t>
      </w:r>
      <w:r>
        <w:rPr>
          <w:color w:val="231F20"/>
          <w:spacing w:val="25"/>
        </w:rPr>
        <w:t> </w:t>
      </w:r>
      <w:r>
        <w:rPr>
          <w:color w:val="231F20"/>
        </w:rPr>
        <w:t>mie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403</w:t>
      </w:r>
      <w:r>
        <w:rPr>
          <w:color w:val="231F20"/>
          <w:spacing w:val="-1"/>
        </w:rPr>
        <w:t> </w:t>
      </w:r>
      <w:r>
        <w:rPr>
          <w:color w:val="231F20"/>
        </w:rPr>
        <w:t>t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Parallèlement,</w:t>
      </w:r>
      <w:r>
        <w:rPr>
          <w:color w:val="231F20"/>
          <w:spacing w:val="-1"/>
        </w:rPr>
        <w:t> </w:t>
      </w:r>
      <w:r>
        <w:rPr>
          <w:color w:val="231F20"/>
        </w:rPr>
        <w:t>depuis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41"/>
        </w:rPr>
        <w:t> </w:t>
      </w:r>
      <w:r>
        <w:rPr>
          <w:color w:val="231F20"/>
        </w:rPr>
        <w:t>fin</w:t>
      </w:r>
      <w:r>
        <w:rPr>
          <w:color w:val="231F20"/>
          <w:spacing w:val="42"/>
        </w:rPr>
        <w:t> </w:t>
      </w:r>
      <w:r>
        <w:rPr>
          <w:color w:val="231F20"/>
        </w:rPr>
        <w:t>des</w:t>
      </w:r>
      <w:r>
        <w:rPr>
          <w:color w:val="231F20"/>
          <w:spacing w:val="41"/>
        </w:rPr>
        <w:t> </w:t>
      </w:r>
      <w:r>
        <w:rPr>
          <w:color w:val="231F20"/>
        </w:rPr>
        <w:t>années</w:t>
      </w:r>
      <w:r>
        <w:rPr>
          <w:color w:val="231F20"/>
          <w:spacing w:val="42"/>
        </w:rPr>
        <w:t> </w:t>
      </w:r>
      <w:r>
        <w:rPr>
          <w:color w:val="231F20"/>
        </w:rPr>
        <w:t>1990,</w:t>
      </w:r>
      <w:r>
        <w:rPr>
          <w:color w:val="231F20"/>
          <w:spacing w:val="42"/>
        </w:rPr>
        <w:t> </w:t>
      </w:r>
      <w:r>
        <w:rPr>
          <w:color w:val="231F20"/>
        </w:rPr>
        <w:t>Genève</w:t>
      </w:r>
      <w:r>
        <w:rPr>
          <w:color w:val="231F20"/>
          <w:spacing w:val="41"/>
        </w:rPr>
        <w:t> </w:t>
      </w:r>
      <w:r>
        <w:rPr>
          <w:color w:val="231F20"/>
        </w:rPr>
        <w:t>valorise</w:t>
      </w:r>
      <w:r>
        <w:rPr>
          <w:color w:val="231F20"/>
        </w:rPr>
        <w:t> l’énergie</w:t>
      </w:r>
      <w:r>
        <w:rPr>
          <w:color w:val="231F20"/>
          <w:spacing w:val="15"/>
        </w:rPr>
        <w:t> </w:t>
      </w:r>
      <w:r>
        <w:rPr>
          <w:color w:val="231F20"/>
        </w:rPr>
        <w:t>solaire</w:t>
      </w:r>
      <w:r>
        <w:rPr>
          <w:color w:val="231F20"/>
          <w:spacing w:val="15"/>
        </w:rPr>
        <w:t> </w:t>
      </w:r>
      <w:r>
        <w:rPr>
          <w:color w:val="231F20"/>
        </w:rPr>
        <w:t>à</w:t>
      </w:r>
      <w:r>
        <w:rPr>
          <w:color w:val="231F20"/>
          <w:spacing w:val="15"/>
        </w:rPr>
        <w:t> </w:t>
      </w:r>
      <w:r>
        <w:rPr>
          <w:color w:val="231F20"/>
        </w:rPr>
        <w:t>travers</w:t>
      </w:r>
      <w:r>
        <w:rPr>
          <w:color w:val="231F20"/>
          <w:spacing w:val="15"/>
        </w:rPr>
        <w:t> </w:t>
      </w:r>
      <w:r>
        <w:rPr>
          <w:color w:val="231F20"/>
        </w:rPr>
        <w:t>l’implantation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</w:rPr>
        <w:t> panneaux</w:t>
      </w:r>
      <w:r>
        <w:rPr>
          <w:color w:val="231F20"/>
          <w:spacing w:val="3"/>
        </w:rPr>
        <w:t> </w:t>
      </w:r>
      <w:r>
        <w:rPr>
          <w:color w:val="231F20"/>
        </w:rPr>
        <w:t>photovoltaïques.</w:t>
      </w:r>
      <w:r>
        <w:rPr>
          <w:color w:val="231F20"/>
          <w:spacing w:val="3"/>
        </w:rPr>
        <w:t> </w:t>
      </w:r>
      <w:r>
        <w:rPr>
          <w:color w:val="231F20"/>
        </w:rPr>
        <w:t>L’ensemble</w:t>
      </w:r>
      <w:r>
        <w:rPr>
          <w:color w:val="231F20"/>
          <w:spacing w:val="3"/>
        </w:rPr>
        <w:t> </w:t>
      </w:r>
      <w:r>
        <w:rPr>
          <w:color w:val="231F20"/>
        </w:rPr>
        <w:t>des</w:t>
      </w:r>
      <w:r>
        <w:rPr>
          <w:color w:val="231F20"/>
        </w:rPr>
        <w:t> installations</w:t>
      </w:r>
      <w:r>
        <w:rPr>
          <w:color w:val="231F20"/>
          <w:spacing w:val="-1"/>
        </w:rPr>
        <w:t> </w:t>
      </w:r>
      <w:r>
        <w:rPr>
          <w:color w:val="231F20"/>
        </w:rPr>
        <w:t>PV</w:t>
      </w:r>
      <w:r>
        <w:rPr>
          <w:color w:val="231F20"/>
          <w:spacing w:val="-1"/>
        </w:rPr>
        <w:t> </w:t>
      </w:r>
      <w:r>
        <w:rPr>
          <w:color w:val="231F20"/>
        </w:rPr>
        <w:t>construites</w:t>
      </w:r>
      <w:r>
        <w:rPr>
          <w:color w:val="231F20"/>
          <w:spacing w:val="-1"/>
        </w:rPr>
        <w:t> </w:t>
      </w:r>
      <w:r>
        <w:rPr>
          <w:color w:val="231F20"/>
        </w:rPr>
        <w:t>jusqu’ici</w:t>
      </w:r>
      <w:r>
        <w:rPr>
          <w:color w:val="231F20"/>
          <w:spacing w:val="-1"/>
        </w:rPr>
        <w:t> </w:t>
      </w:r>
      <w:r>
        <w:rPr>
          <w:color w:val="231F20"/>
        </w:rPr>
        <w:t>sur</w:t>
      </w:r>
      <w:r>
        <w:rPr>
          <w:color w:val="231F20"/>
          <w:spacing w:val="-1"/>
        </w:rPr>
        <w:t> </w:t>
      </w:r>
      <w:r>
        <w:rPr>
          <w:color w:val="231F20"/>
        </w:rPr>
        <w:t>ses</w:t>
      </w:r>
      <w:r>
        <w:rPr>
          <w:color w:val="231F20"/>
          <w:spacing w:val="21"/>
        </w:rPr>
        <w:t> </w:t>
      </w:r>
      <w:r>
        <w:rPr>
          <w:color w:val="231F20"/>
        </w:rPr>
        <w:t>bâtiments</w:t>
      </w:r>
      <w:r>
        <w:rPr>
          <w:color w:val="231F20"/>
          <w:spacing w:val="41"/>
        </w:rPr>
        <w:t> </w:t>
      </w:r>
      <w:r>
        <w:rPr>
          <w:color w:val="231F20"/>
        </w:rPr>
        <w:t>municipaux</w:t>
      </w:r>
      <w:r>
        <w:rPr>
          <w:color w:val="231F20"/>
          <w:spacing w:val="42"/>
        </w:rPr>
        <w:t> </w:t>
      </w:r>
      <w:r>
        <w:rPr>
          <w:color w:val="231F20"/>
        </w:rPr>
        <w:t>permet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2"/>
        </w:rPr>
        <w:t> </w:t>
      </w:r>
      <w:r>
        <w:rPr>
          <w:color w:val="231F20"/>
        </w:rPr>
        <w:t>générer</w:t>
      </w:r>
      <w:r>
        <w:rPr>
          <w:color w:val="231F20"/>
        </w:rPr>
        <w:t> 340’000</w:t>
      </w:r>
      <w:r>
        <w:rPr>
          <w:color w:val="231F20"/>
          <w:spacing w:val="26"/>
        </w:rPr>
        <w:t> </w:t>
      </w:r>
      <w:r>
        <w:rPr>
          <w:color w:val="231F20"/>
        </w:rPr>
        <w:t>kWh/a.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s’inscrivant</w:t>
      </w:r>
      <w:r>
        <w:rPr>
          <w:color w:val="231F20"/>
          <w:spacing w:val="27"/>
        </w:rPr>
        <w:t> </w:t>
      </w:r>
      <w:r>
        <w:rPr>
          <w:color w:val="231F20"/>
        </w:rPr>
        <w:t>dans</w:t>
      </w:r>
      <w:r>
        <w:rPr>
          <w:color w:val="231F20"/>
          <w:spacing w:val="27"/>
        </w:rPr>
        <w:t> </w:t>
      </w:r>
      <w:r>
        <w:rPr>
          <w:color w:val="231F20"/>
        </w:rPr>
        <w:t>une</w:t>
      </w:r>
      <w:r>
        <w:rPr>
          <w:color w:val="231F20"/>
        </w:rPr>
        <w:t> approche</w:t>
      </w:r>
      <w:r>
        <w:rPr>
          <w:color w:val="231F20"/>
          <w:spacing w:val="27"/>
        </w:rPr>
        <w:t> </w:t>
      </w:r>
      <w:r>
        <w:rPr>
          <w:color w:val="231F20"/>
        </w:rPr>
        <w:t>tournée</w:t>
      </w:r>
      <w:r>
        <w:rPr>
          <w:color w:val="231F20"/>
          <w:spacing w:val="28"/>
        </w:rPr>
        <w:t> </w:t>
      </w:r>
      <w:r>
        <w:rPr>
          <w:color w:val="231F20"/>
        </w:rPr>
        <w:t>vers</w:t>
      </w:r>
      <w:r>
        <w:rPr>
          <w:color w:val="231F20"/>
          <w:spacing w:val="27"/>
        </w:rPr>
        <w:t> </w:t>
      </w:r>
      <w:r>
        <w:rPr>
          <w:color w:val="231F20"/>
        </w:rPr>
        <w:t>l’avenir,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Ville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</w:rPr>
        <w:t> Genève</w:t>
      </w:r>
      <w:r>
        <w:rPr>
          <w:color w:val="231F20"/>
          <w:spacing w:val="12"/>
        </w:rPr>
        <w:t> </w:t>
      </w:r>
      <w:r>
        <w:rPr>
          <w:color w:val="231F20"/>
        </w:rPr>
        <w:t>contribue</w:t>
      </w:r>
      <w:r>
        <w:rPr>
          <w:color w:val="231F20"/>
          <w:spacing w:val="12"/>
        </w:rPr>
        <w:t> </w:t>
      </w:r>
      <w:r>
        <w:rPr>
          <w:color w:val="231F20"/>
        </w:rPr>
        <w:t>activement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diffusion</w:t>
      </w:r>
      <w:r>
        <w:rPr>
          <w:color w:val="231F20"/>
        </w:rPr>
        <w:t> des</w:t>
      </w:r>
      <w:r>
        <w:rPr>
          <w:color w:val="231F20"/>
          <w:spacing w:val="19"/>
        </w:rPr>
        <w:t> </w:t>
      </w:r>
      <w:r>
        <w:rPr>
          <w:color w:val="231F20"/>
        </w:rPr>
        <w:t>évolutions</w:t>
      </w:r>
      <w:r>
        <w:rPr>
          <w:color w:val="231F20"/>
          <w:spacing w:val="19"/>
        </w:rPr>
        <w:t> </w:t>
      </w:r>
      <w:r>
        <w:rPr>
          <w:color w:val="231F20"/>
        </w:rPr>
        <w:t>technologiques</w:t>
      </w:r>
      <w:r>
        <w:rPr>
          <w:color w:val="231F20"/>
          <w:spacing w:val="19"/>
        </w:rPr>
        <w:t> </w:t>
      </w:r>
      <w:r>
        <w:rPr>
          <w:color w:val="231F20"/>
        </w:rPr>
        <w:t>dans</w:t>
      </w:r>
      <w:r>
        <w:rPr>
          <w:color w:val="231F20"/>
          <w:spacing w:val="19"/>
        </w:rPr>
        <w:t> </w:t>
      </w:r>
      <w:r>
        <w:rPr>
          <w:color w:val="231F20"/>
        </w:rPr>
        <w:t>le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do-</w:t>
      </w:r>
      <w:r>
        <w:rPr>
          <w:color w:val="231F20"/>
          <w:spacing w:val="22"/>
        </w:rPr>
        <w:t> </w:t>
      </w:r>
      <w:r>
        <w:rPr>
          <w:color w:val="231F20"/>
        </w:rPr>
        <w:t>maine.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titre</w:t>
      </w:r>
      <w:r>
        <w:rPr>
          <w:color w:val="231F20"/>
          <w:spacing w:val="-9"/>
        </w:rPr>
        <w:t> </w:t>
      </w:r>
      <w:r>
        <w:rPr>
          <w:color w:val="231F20"/>
        </w:rPr>
        <w:t>d’exemple,</w:t>
      </w:r>
      <w:r>
        <w:rPr>
          <w:color w:val="231F20"/>
          <w:spacing w:val="-9"/>
        </w:rPr>
        <w:t> </w:t>
      </w:r>
      <w:r>
        <w:rPr>
          <w:color w:val="231F20"/>
        </w:rPr>
        <w:t>sa</w:t>
      </w:r>
      <w:r>
        <w:rPr>
          <w:color w:val="231F20"/>
          <w:spacing w:val="-9"/>
        </w:rPr>
        <w:t> </w:t>
      </w:r>
      <w:r>
        <w:rPr>
          <w:color w:val="231F20"/>
        </w:rPr>
        <w:t>première</w:t>
      </w:r>
      <w:r>
        <w:rPr>
          <w:color w:val="231F20"/>
          <w:spacing w:val="-9"/>
        </w:rPr>
        <w:t> </w:t>
      </w:r>
      <w:r>
        <w:rPr>
          <w:color w:val="231F20"/>
        </w:rPr>
        <w:t>instal-</w:t>
      </w:r>
      <w:r>
        <w:rPr>
          <w:color w:val="231F20"/>
        </w:rPr>
        <w:t> lation</w:t>
      </w:r>
      <w:r>
        <w:rPr>
          <w:color w:val="231F20"/>
          <w:spacing w:val="22"/>
        </w:rPr>
        <w:t> </w:t>
      </w:r>
      <w:r>
        <w:rPr>
          <w:color w:val="231F20"/>
        </w:rPr>
        <w:t>solaire</w:t>
      </w:r>
      <w:r>
        <w:rPr>
          <w:color w:val="231F20"/>
          <w:spacing w:val="22"/>
        </w:rPr>
        <w:t> </w:t>
      </w:r>
      <w:r>
        <w:rPr>
          <w:color w:val="231F20"/>
        </w:rPr>
        <w:t>hybride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22"/>
        </w:rPr>
        <w:t> </w:t>
      </w:r>
      <w:r>
        <w:rPr>
          <w:color w:val="231F20"/>
        </w:rPr>
        <w:t>2014,</w:t>
      </w:r>
      <w:r>
        <w:rPr>
          <w:color w:val="231F20"/>
          <w:spacing w:val="22"/>
        </w:rPr>
        <w:t> </w:t>
      </w:r>
      <w:r>
        <w:rPr>
          <w:color w:val="231F20"/>
        </w:rPr>
        <w:t>sur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2"/>
        </w:rPr>
        <w:t> </w:t>
      </w:r>
      <w:r>
        <w:rPr>
          <w:color w:val="231F20"/>
        </w:rPr>
        <w:t>im-</w:t>
      </w:r>
      <w:r>
        <w:rPr>
          <w:color w:val="231F20"/>
        </w:rPr>
        <w:t> meuble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rue</w:t>
      </w:r>
      <w:r>
        <w:rPr>
          <w:color w:val="231F20"/>
          <w:spacing w:val="16"/>
        </w:rPr>
        <w:t> </w:t>
      </w:r>
      <w:r>
        <w:rPr>
          <w:color w:val="231F20"/>
        </w:rPr>
        <w:t>des</w:t>
      </w:r>
      <w:r>
        <w:rPr>
          <w:color w:val="231F20"/>
          <w:spacing w:val="16"/>
        </w:rPr>
        <w:t> </w:t>
      </w:r>
      <w:r>
        <w:rPr>
          <w:color w:val="231F20"/>
        </w:rPr>
        <w:t>Pâquis,</w:t>
      </w:r>
      <w:r>
        <w:rPr>
          <w:color w:val="231F20"/>
          <w:spacing w:val="16"/>
        </w:rPr>
        <w:t> </w:t>
      </w:r>
      <w:r>
        <w:rPr>
          <w:color w:val="231F20"/>
        </w:rPr>
        <w:t>vise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tester</w:t>
      </w:r>
      <w:r>
        <w:rPr>
          <w:color w:val="231F20"/>
        </w:rPr>
        <w:t> les</w:t>
      </w:r>
      <w:r>
        <w:rPr>
          <w:color w:val="231F20"/>
          <w:spacing w:val="34"/>
        </w:rPr>
        <w:t> </w:t>
      </w:r>
      <w:r>
        <w:rPr>
          <w:color w:val="231F20"/>
        </w:rPr>
        <w:t>performances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panneaux</w:t>
      </w:r>
      <w:r>
        <w:rPr>
          <w:color w:val="231F20"/>
          <w:spacing w:val="35"/>
        </w:rPr>
        <w:t> </w:t>
      </w:r>
      <w:r>
        <w:rPr>
          <w:color w:val="231F20"/>
        </w:rPr>
        <w:t>solaires</w:t>
      </w:r>
      <w:r>
        <w:rPr>
          <w:color w:val="231F20"/>
        </w:rPr>
        <w:t> combinés thermiques et photovoltaïques.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Par</w:t>
      </w:r>
      <w:r>
        <w:rPr>
          <w:color w:val="231F20"/>
          <w:spacing w:val="13"/>
        </w:rPr>
        <w:t> </w:t>
      </w:r>
      <w:r>
        <w:rPr>
          <w:color w:val="231F20"/>
        </w:rPr>
        <w:t>une</w:t>
      </w:r>
      <w:r>
        <w:rPr>
          <w:color w:val="231F20"/>
          <w:spacing w:val="13"/>
        </w:rPr>
        <w:t> </w:t>
      </w:r>
      <w:r>
        <w:rPr>
          <w:color w:val="231F20"/>
        </w:rPr>
        <w:t>approche</w:t>
      </w:r>
      <w:r>
        <w:rPr>
          <w:color w:val="231F20"/>
          <w:spacing w:val="13"/>
        </w:rPr>
        <w:t> </w:t>
      </w:r>
      <w:r>
        <w:rPr>
          <w:color w:val="231F20"/>
        </w:rPr>
        <w:t>holistique</w:t>
      </w:r>
      <w:r>
        <w:rPr>
          <w:color w:val="231F20"/>
          <w:spacing w:val="13"/>
        </w:rPr>
        <w:t> </w:t>
      </w:r>
      <w:r>
        <w:rPr>
          <w:color w:val="231F20"/>
        </w:rPr>
        <w:t>des</w:t>
      </w:r>
      <w:r>
        <w:rPr>
          <w:color w:val="231F20"/>
          <w:spacing w:val="13"/>
        </w:rPr>
        <w:t> </w:t>
      </w:r>
      <w:r>
        <w:rPr>
          <w:color w:val="231F20"/>
        </w:rPr>
        <w:t>enjeux</w:t>
      </w:r>
      <w:r>
        <w:rPr>
          <w:color w:val="231F20"/>
        </w:rPr>
        <w:t> liés</w:t>
      </w:r>
      <w:r>
        <w:rPr>
          <w:color w:val="231F20"/>
          <w:spacing w:val="-11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transition</w:t>
      </w:r>
      <w:r>
        <w:rPr>
          <w:color w:val="231F20"/>
          <w:spacing w:val="-11"/>
        </w:rPr>
        <w:t> </w:t>
      </w:r>
      <w:r>
        <w:rPr>
          <w:color w:val="231F20"/>
        </w:rPr>
        <w:t>énergétique,</w:t>
      </w:r>
      <w:r>
        <w:rPr>
          <w:color w:val="231F20"/>
          <w:spacing w:val="-11"/>
        </w:rPr>
        <w:t> </w:t>
      </w:r>
      <w:r>
        <w:rPr>
          <w:color w:val="231F20"/>
        </w:rPr>
        <w:t>Genève</w:t>
      </w:r>
      <w:r>
        <w:rPr>
          <w:color w:val="231F20"/>
          <w:spacing w:val="-11"/>
        </w:rPr>
        <w:t> </w:t>
      </w:r>
      <w:r>
        <w:rPr>
          <w:color w:val="231F20"/>
        </w:rPr>
        <w:t>s’est</w:t>
      </w:r>
      <w:r>
        <w:rPr>
          <w:color w:val="231F20"/>
        </w:rPr>
        <w:t> dotée</w:t>
      </w:r>
      <w:r>
        <w:rPr>
          <w:color w:val="231F20"/>
          <w:spacing w:val="13"/>
        </w:rPr>
        <w:t> </w:t>
      </w:r>
      <w:r>
        <w:rPr>
          <w:color w:val="231F20"/>
        </w:rPr>
        <w:t>d’une</w:t>
      </w:r>
      <w:r>
        <w:rPr>
          <w:color w:val="231F20"/>
          <w:spacing w:val="13"/>
        </w:rPr>
        <w:t> </w:t>
      </w:r>
      <w:r>
        <w:rPr>
          <w:color w:val="231F20"/>
        </w:rPr>
        <w:t>stratégie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3"/>
        </w:rPr>
        <w:t> </w:t>
      </w:r>
      <w:r>
        <w:rPr>
          <w:color w:val="231F20"/>
        </w:rPr>
        <w:t>long</w:t>
      </w:r>
      <w:r>
        <w:rPr>
          <w:color w:val="231F20"/>
          <w:spacing w:val="13"/>
        </w:rPr>
        <w:t> </w:t>
      </w:r>
      <w:r>
        <w:rPr>
          <w:color w:val="231F20"/>
        </w:rPr>
        <w:t>terme</w:t>
      </w:r>
      <w:r>
        <w:rPr>
          <w:color w:val="231F20"/>
          <w:spacing w:val="13"/>
        </w:rPr>
        <w:t> </w:t>
      </w:r>
      <w:r>
        <w:rPr>
          <w:color w:val="231F20"/>
        </w:rPr>
        <w:t>et</w:t>
      </w:r>
      <w:r>
        <w:rPr>
          <w:color w:val="231F20"/>
          <w:spacing w:val="13"/>
        </w:rPr>
        <w:t> </w:t>
      </w:r>
      <w:r>
        <w:rPr>
          <w:color w:val="231F20"/>
        </w:rPr>
        <w:t>d’un</w:t>
      </w:r>
      <w:r>
        <w:rPr>
          <w:color w:val="231F20"/>
        </w:rPr>
        <w:t> plan</w:t>
      </w:r>
      <w:r>
        <w:rPr>
          <w:color w:val="231F20"/>
          <w:spacing w:val="47"/>
        </w:rPr>
        <w:t> </w:t>
      </w:r>
      <w:r>
        <w:rPr>
          <w:color w:val="231F20"/>
        </w:rPr>
        <w:t>d’action</w:t>
      </w:r>
      <w:r>
        <w:rPr>
          <w:color w:val="231F20"/>
          <w:spacing w:val="48"/>
        </w:rPr>
        <w:t> </w:t>
      </w:r>
      <w:r>
        <w:rPr>
          <w:color w:val="231F20"/>
        </w:rPr>
        <w:t>concrets</w:t>
      </w:r>
      <w:r>
        <w:rPr>
          <w:color w:val="231F20"/>
          <w:spacing w:val="47"/>
        </w:rPr>
        <w:t> </w:t>
      </w:r>
      <w:r>
        <w:rPr>
          <w:color w:val="231F20"/>
        </w:rPr>
        <w:t>(2014-2018)</w:t>
      </w:r>
      <w:r>
        <w:rPr>
          <w:color w:val="231F20"/>
          <w:spacing w:val="48"/>
        </w:rPr>
        <w:t> </w:t>
      </w:r>
      <w:r>
        <w:rPr>
          <w:color w:val="231F20"/>
        </w:rPr>
        <w:t>inté-</w:t>
      </w:r>
      <w:r>
        <w:rPr>
          <w:color w:val="231F20"/>
        </w:rPr>
        <w:t> grant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économies</w:t>
      </w:r>
      <w:r>
        <w:rPr>
          <w:color w:val="231F20"/>
          <w:spacing w:val="11"/>
        </w:rPr>
        <w:t> </w:t>
      </w:r>
      <w:r>
        <w:rPr>
          <w:color w:val="231F20"/>
        </w:rPr>
        <w:t>d’énergie</w:t>
      </w:r>
      <w:r>
        <w:rPr>
          <w:color w:val="231F20"/>
          <w:spacing w:val="11"/>
        </w:rPr>
        <w:t> </w:t>
      </w:r>
      <w:r>
        <w:rPr>
          <w:color w:val="231F20"/>
        </w:rPr>
        <w:t>dans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</w:rPr>
        <w:t>bâti</w:t>
      </w:r>
      <w:r>
        <w:rPr>
          <w:color w:val="231F20"/>
        </w:rPr>
        <w:t> à la production d’énergie renouvelable.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Dans</w:t>
      </w:r>
      <w:r>
        <w:rPr>
          <w:color w:val="231F20"/>
          <w:spacing w:val="16"/>
        </w:rPr>
        <w:t> </w:t>
      </w:r>
      <w:r>
        <w:rPr>
          <w:color w:val="231F20"/>
        </w:rPr>
        <w:t>l’optique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déployer</w:t>
      </w:r>
      <w:r>
        <w:rPr>
          <w:color w:val="231F20"/>
          <w:spacing w:val="16"/>
        </w:rPr>
        <w:t> </w:t>
      </w:r>
      <w:r>
        <w:rPr>
          <w:color w:val="231F20"/>
        </w:rPr>
        <w:t>les</w:t>
      </w:r>
      <w:r>
        <w:rPr>
          <w:color w:val="231F20"/>
          <w:spacing w:val="16"/>
        </w:rPr>
        <w:t> </w:t>
      </w:r>
      <w:r>
        <w:rPr>
          <w:color w:val="231F20"/>
        </w:rPr>
        <w:t>éner-</w:t>
      </w:r>
      <w:r>
        <w:rPr>
          <w:color w:val="231F20"/>
        </w:rPr>
        <w:t> gies</w:t>
      </w:r>
      <w:r>
        <w:rPr>
          <w:color w:val="231F20"/>
          <w:spacing w:val="30"/>
        </w:rPr>
        <w:t> </w:t>
      </w:r>
      <w:r>
        <w:rPr>
          <w:color w:val="231F20"/>
        </w:rPr>
        <w:t>renouvelables</w:t>
      </w:r>
      <w:r>
        <w:rPr>
          <w:color w:val="231F20"/>
          <w:spacing w:val="31"/>
        </w:rPr>
        <w:t> </w:t>
      </w:r>
      <w:r>
        <w:rPr>
          <w:color w:val="231F20"/>
        </w:rPr>
        <w:t>à</w:t>
      </w:r>
      <w:r>
        <w:rPr>
          <w:color w:val="231F20"/>
          <w:spacing w:val="30"/>
        </w:rPr>
        <w:t> </w:t>
      </w:r>
      <w:r>
        <w:rPr>
          <w:color w:val="231F20"/>
        </w:rPr>
        <w:t>plus</w:t>
      </w:r>
      <w:r>
        <w:rPr>
          <w:color w:val="231F20"/>
          <w:spacing w:val="31"/>
        </w:rPr>
        <w:t> </w:t>
      </w:r>
      <w:r>
        <w:rPr>
          <w:color w:val="231F20"/>
        </w:rPr>
        <w:t>grande</w:t>
      </w:r>
      <w:r>
        <w:rPr>
          <w:color w:val="231F20"/>
          <w:spacing w:val="31"/>
        </w:rPr>
        <w:t> </w:t>
      </w:r>
      <w:r>
        <w:rPr>
          <w:color w:val="231F20"/>
        </w:rPr>
        <w:t>échelle,</w:t>
      </w:r>
      <w:r>
        <w:rPr>
          <w:color w:val="231F20"/>
        </w:rPr>
        <w:t> Genève</w:t>
      </w:r>
      <w:r>
        <w:rPr>
          <w:color w:val="231F20"/>
          <w:spacing w:val="32"/>
        </w:rPr>
        <w:t> </w:t>
      </w:r>
      <w:r>
        <w:rPr>
          <w:color w:val="231F20"/>
        </w:rPr>
        <w:t>inscrit</w:t>
      </w:r>
      <w:r>
        <w:rPr>
          <w:color w:val="231F20"/>
          <w:spacing w:val="33"/>
        </w:rPr>
        <w:t> </w:t>
      </w:r>
      <w:r>
        <w:rPr>
          <w:color w:val="231F20"/>
        </w:rPr>
        <w:t>plus</w:t>
      </w:r>
      <w:r>
        <w:rPr>
          <w:color w:val="231F20"/>
          <w:spacing w:val="32"/>
        </w:rPr>
        <w:t> </w:t>
      </w:r>
      <w:r>
        <w:rPr>
          <w:color w:val="231F20"/>
        </w:rPr>
        <w:t>largement</w:t>
      </w:r>
      <w:r>
        <w:rPr>
          <w:color w:val="231F20"/>
          <w:spacing w:val="33"/>
        </w:rPr>
        <w:t> </w:t>
      </w:r>
      <w:r>
        <w:rPr>
          <w:color w:val="231F20"/>
        </w:rPr>
        <w:t>ses</w:t>
      </w:r>
      <w:r>
        <w:rPr>
          <w:color w:val="231F20"/>
          <w:spacing w:val="33"/>
        </w:rPr>
        <w:t> </w:t>
      </w:r>
      <w:r>
        <w:rPr>
          <w:color w:val="231F20"/>
        </w:rPr>
        <w:t>projets</w:t>
      </w:r>
      <w:r>
        <w:rPr>
          <w:color w:val="231F20"/>
        </w:rPr>
        <w:t> dans</w:t>
      </w:r>
      <w:r>
        <w:rPr>
          <w:color w:val="231F20"/>
          <w:spacing w:val="-6"/>
        </w:rPr>
        <w:t> </w:t>
      </w:r>
      <w:r>
        <w:rPr>
          <w:color w:val="231F20"/>
        </w:rPr>
        <w:t>une</w:t>
      </w:r>
      <w:r>
        <w:rPr>
          <w:color w:val="231F20"/>
          <w:spacing w:val="-6"/>
        </w:rPr>
        <w:t> </w:t>
      </w:r>
      <w:r>
        <w:rPr>
          <w:color w:val="231F20"/>
        </w:rPr>
        <w:t>planification</w:t>
      </w:r>
      <w:r>
        <w:rPr>
          <w:color w:val="231F20"/>
          <w:spacing w:val="-6"/>
        </w:rPr>
        <w:t> </w:t>
      </w:r>
      <w:r>
        <w:rPr>
          <w:color w:val="231F20"/>
        </w:rPr>
        <w:t>territoriale</w:t>
      </w:r>
      <w:r>
        <w:rPr>
          <w:color w:val="231F20"/>
          <w:spacing w:val="-6"/>
        </w:rPr>
        <w:t> </w:t>
      </w:r>
      <w:r>
        <w:rPr>
          <w:color w:val="231F20"/>
        </w:rPr>
        <w:t>mobilisant</w:t>
      </w:r>
      <w:r>
        <w:rPr>
          <w:color w:val="231F20"/>
        </w:rPr>
        <w:t> tous</w:t>
      </w:r>
      <w:r>
        <w:rPr>
          <w:color w:val="231F20"/>
          <w:spacing w:val="4"/>
        </w:rPr>
        <w:t> </w:t>
      </w:r>
      <w:r>
        <w:rPr>
          <w:color w:val="231F20"/>
        </w:rPr>
        <w:t>les</w:t>
      </w:r>
      <w:r>
        <w:rPr>
          <w:color w:val="231F20"/>
          <w:spacing w:val="4"/>
        </w:rPr>
        <w:t> </w:t>
      </w:r>
      <w:r>
        <w:rPr>
          <w:color w:val="231F20"/>
        </w:rPr>
        <w:t>acteurs</w:t>
      </w:r>
      <w:r>
        <w:rPr>
          <w:color w:val="231F20"/>
          <w:spacing w:val="4"/>
        </w:rPr>
        <w:t> </w:t>
      </w:r>
      <w:r>
        <w:rPr>
          <w:color w:val="231F20"/>
        </w:rPr>
        <w:t>concernés</w:t>
      </w:r>
      <w:r>
        <w:rPr>
          <w:color w:val="231F20"/>
          <w:spacing w:val="4"/>
        </w:rPr>
        <w:t> </w:t>
      </w:r>
      <w:r>
        <w:rPr>
          <w:color w:val="231F20"/>
        </w:rPr>
        <w:t>autour</w:t>
      </w:r>
      <w:r>
        <w:rPr>
          <w:color w:val="231F20"/>
          <w:spacing w:val="4"/>
        </w:rPr>
        <w:t> </w:t>
      </w:r>
      <w:r>
        <w:rPr>
          <w:color w:val="231F20"/>
        </w:rPr>
        <w:t>d’une</w:t>
      </w:r>
      <w:r>
        <w:rPr>
          <w:color w:val="231F20"/>
          <w:spacing w:val="4"/>
        </w:rPr>
        <w:t> </w:t>
      </w:r>
      <w:r>
        <w:rPr>
          <w:color w:val="231F20"/>
        </w:rPr>
        <w:t>vi-</w:t>
      </w:r>
      <w:r>
        <w:rPr>
          <w:color w:val="231F20"/>
        </w:rPr>
        <w:t> sion</w:t>
      </w:r>
      <w:r>
        <w:rPr>
          <w:color w:val="231F20"/>
          <w:spacing w:val="-5"/>
        </w:rPr>
        <w:t> </w:t>
      </w:r>
      <w:r>
        <w:rPr>
          <w:color w:val="231F20"/>
        </w:rPr>
        <w:t>rassembleuse.</w:t>
      </w:r>
      <w:r>
        <w:rPr>
          <w:color w:val="231F20"/>
          <w:spacing w:val="-5"/>
        </w:rPr>
        <w:t> </w:t>
      </w:r>
      <w:r>
        <w:rPr>
          <w:color w:val="231F20"/>
        </w:rPr>
        <w:t>Ainsi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Ville</w:t>
      </w:r>
      <w:r>
        <w:rPr>
          <w:color w:val="231F20"/>
          <w:spacing w:val="-5"/>
        </w:rPr>
        <w:t> </w:t>
      </w:r>
      <w:r>
        <w:rPr>
          <w:color w:val="231F20"/>
        </w:rPr>
        <w:t>met</w:t>
      </w:r>
      <w:r>
        <w:rPr>
          <w:color w:val="231F20"/>
          <w:spacing w:val="-5"/>
        </w:rPr>
        <w:t> </w:t>
      </w:r>
      <w:r>
        <w:rPr>
          <w:color w:val="231F20"/>
        </w:rPr>
        <w:t>tout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</w:rPr>
        <w:t> œuvre</w:t>
      </w:r>
      <w:r>
        <w:rPr>
          <w:color w:val="231F20"/>
          <w:spacing w:val="-14"/>
        </w:rPr>
        <w:t> </w:t>
      </w:r>
      <w:r>
        <w:rPr>
          <w:color w:val="231F20"/>
        </w:rPr>
        <w:t>pour</w:t>
      </w:r>
      <w:r>
        <w:rPr>
          <w:color w:val="231F20"/>
          <w:spacing w:val="-14"/>
        </w:rPr>
        <w:t> </w:t>
      </w:r>
      <w:r>
        <w:rPr>
          <w:color w:val="231F20"/>
        </w:rPr>
        <w:t>atteindre</w:t>
      </w:r>
      <w:r>
        <w:rPr>
          <w:color w:val="231F20"/>
          <w:spacing w:val="-14"/>
        </w:rPr>
        <w:t> </w:t>
      </w:r>
      <w:r>
        <w:rPr>
          <w:color w:val="231F20"/>
        </w:rPr>
        <w:t>ses</w:t>
      </w:r>
      <w:r>
        <w:rPr>
          <w:color w:val="231F20"/>
          <w:spacing w:val="-14"/>
        </w:rPr>
        <w:t> </w:t>
      </w:r>
      <w:r>
        <w:rPr>
          <w:color w:val="231F20"/>
        </w:rPr>
        <w:t>objectifs</w:t>
      </w:r>
      <w:r>
        <w:rPr>
          <w:color w:val="231F20"/>
          <w:spacing w:val="-14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2050</w:t>
      </w:r>
      <w:r>
        <w:rPr>
          <w:color w:val="231F20"/>
          <w:spacing w:val="-14"/>
        </w:rPr>
        <w:t> </w:t>
      </w:r>
      <w:r>
        <w:rPr>
          <w:color w:val="231F20"/>
        </w:rPr>
        <w:t>et</w:t>
      </w:r>
      <w:r>
        <w:rPr>
          <w:color w:val="231F20"/>
        </w:rPr>
        <w:t> mérite un Prix Solaire Suisse 2015.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Bereits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Jahre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1982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installierte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Stadt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Genf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Sportzentrum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Vessy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ihre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ers-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grosse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solarthermische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Anlage.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ständigen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Investitionen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nutzt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Stadt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heute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2’272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Erzeugung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thermie.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entspricht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Einsparung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jährlich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403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Tonnen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Gleichzeitig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fördert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Stadt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späten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90er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Jahren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PV-Anlagen.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heute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auf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städtischen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Gebäuden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installierten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Anlagen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erzeugen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insgesamt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340’000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zukunftsorientierten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satz leistet die Stadt Genf zudem einen akti- ven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Beitrag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Umsetzung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Technolo-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gien.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installierte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beispielsweise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einem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ihrer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Gebäude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Hybrid-Kollektoren,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Leistung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kombinierten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thermi-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schen und PV-Kollektoren zu testen.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umfassenden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Ansatz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wältigung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Energiewende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legte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Stadt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Genf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konkreten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Aktionsplan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(2014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–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2018)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zurecht.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Strategie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fasst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einerseits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Senkung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Energiever-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brauchs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Gebäudebereich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anderer-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Produktion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erneuerbaren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Energien.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Um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erneuerbare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Energien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in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einem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grös-</w:t>
      </w:r>
      <w:r>
        <w:rPr>
          <w:rFonts w:ascii="Theinhardt Regular Italic" w:hAnsi="Theinhardt Regular Italic"/>
          <w:i/>
          <w:color w:val="231F20"/>
          <w:sz w:val="18"/>
        </w:rPr>
        <w:t> seren</w:t>
      </w:r>
      <w:r>
        <w:rPr>
          <w:rFonts w:ascii="Theinhardt Regular Italic" w:hAnsi="Theinhardt Regular Italic"/>
          <w:i/>
          <w:color w:val="231F20"/>
          <w:spacing w:val="4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Massstab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45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nutzen,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mobilisiert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die</w:t>
      </w:r>
      <w:r>
        <w:rPr>
          <w:rFonts w:ascii="Theinhardt Regular Italic" w:hAnsi="Theinhardt Regular Italic"/>
          <w:i/>
          <w:color w:val="231F20"/>
          <w:sz w:val="18"/>
        </w:rPr>
        <w:t> Stadt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Genf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alle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relevanten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Akteure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ver-</w:t>
      </w:r>
      <w:r>
        <w:rPr>
          <w:rFonts w:ascii="Theinhardt Regular Italic" w:hAnsi="Theinhardt Regular Italic"/>
          <w:i/>
          <w:color w:val="231F20"/>
          <w:sz w:val="18"/>
        </w:rPr>
        <w:t> schiedensten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Branchen</w:t>
      </w:r>
      <w:r>
        <w:rPr>
          <w:rFonts w:ascii="Theinhardt Regular Italic" w:hAnsi="Theinhardt Regular Italic"/>
          <w:i/>
          <w:color w:val="231F20"/>
          <w:spacing w:val="4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für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ein</w:t>
      </w:r>
      <w:r>
        <w:rPr>
          <w:rFonts w:ascii="Theinhardt Regular Italic" w:hAnsi="Theinhardt Regular Italic"/>
          <w:i/>
          <w:color w:val="231F20"/>
          <w:spacing w:val="4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gemeinsa-</w:t>
      </w:r>
      <w:r>
        <w:rPr>
          <w:rFonts w:ascii="Theinhardt Regular Italic" w:hAnsi="Theinhardt Regular Italic"/>
          <w:i/>
          <w:color w:val="231F20"/>
          <w:sz w:val="18"/>
        </w:rPr>
        <w:t> mes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nachhaltiges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Energieziel.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Stadt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setzt</w:t>
      </w:r>
      <w:r>
        <w:rPr>
          <w:rFonts w:ascii="Theinhardt Regular Italic" w:hAnsi="Theinhardt Regular Italic"/>
          <w:i/>
          <w:color w:val="231F20"/>
          <w:sz w:val="18"/>
        </w:rPr>
        <w:t> alles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daran,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um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ihre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Ziele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bis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zum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Jahr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2050</w:t>
      </w:r>
      <w:r>
        <w:rPr>
          <w:rFonts w:ascii="Theinhardt Regular Italic" w:hAnsi="Theinhardt Regular Italic"/>
          <w:i/>
          <w:color w:val="231F20"/>
          <w:sz w:val="18"/>
        </w:rPr>
        <w:t> zu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erreichen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verdient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damit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Schwei-</w:t>
      </w:r>
      <w:r>
        <w:rPr>
          <w:rFonts w:ascii="Theinhardt Regular Italic" w:hAnsi="Theinhardt Regular Italic"/>
          <w:i/>
          <w:color w:val="231F20"/>
          <w:sz w:val="18"/>
        </w:rPr>
        <w:t> zer Solarpreis 2015.</w:t>
      </w:r>
      <w:r>
        <w:rPr>
          <w:rFonts w:ascii="Theinhardt Regular Italic" w:hAnsi="Theinhardt Regular Italic"/>
          <w:sz w:val="18"/>
        </w:rPr>
      </w:r>
    </w:p>
    <w:p>
      <w:pPr>
        <w:tabs>
          <w:tab w:pos="3438" w:val="left" w:leader="none"/>
        </w:tabs>
        <w:spacing w:before="73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z w:val="14"/>
        </w:rPr>
      </w:r>
      <w:r>
        <w:rPr>
          <w:rFonts w:ascii="Theinhardt Black" w:hAnsi="Theinhardt Black"/>
          <w:b/>
          <w:color w:val="231F20"/>
          <w:sz w:val="14"/>
          <w:u w:val="dotted" w:color="231F20"/>
        </w:rPr>
        <w:t>Données techniques</w:t>
      </w:r>
      <w:r>
        <w:rPr>
          <w:rFonts w:ascii="Theinhardt Black" w:hAns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4"/>
        </w:rPr>
      </w:r>
      <w:r>
        <w:rPr>
          <w:rFonts w:ascii="Theinhardt Black" w:hAnsi="Theinhardt Black"/>
          <w:sz w:val="14"/>
        </w:rPr>
      </w:r>
    </w:p>
    <w:p>
      <w:pPr>
        <w:tabs>
          <w:tab w:pos="3286" w:val="right" w:leader="none"/>
        </w:tabs>
        <w:spacing w:line="172" w:lineRule="exact" w:before="135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2.004511pt;width:.1pt;height:.1pt;mso-position-horizontal-relative:page;mso-position-vertical-relative:paragraph;z-index:1048" coordorigin="7714,40" coordsize="2,2">
            <v:shape style="position:absolute;left:7714;top:40;width:2;height:2" coordorigin="7714,40" coordsize="0,0" path="m7714,40l7714,40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2.004511pt;width:.1pt;height:.1pt;mso-position-horizontal-relative:page;mso-position-vertical-relative:paragraph;z-index:1072" coordorigin="11051,40" coordsize="2,2">
            <v:shape style="position:absolute;left:11051;top:40;width:2;height:2" coordorigin="11051,40" coordsize="0,0" path="m11051,40l11051,40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Nombre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d’installations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thermiques:</w:t>
        <w:tab/>
        <w:t>45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718" w:val="left" w:leader="none"/>
        </w:tabs>
        <w:spacing w:line="160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8"/>
          <w:szCs w:val="8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Surface installée:</w:t>
        <w:tab/>
        <w:t>2’272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sz w:val="8"/>
          <w:szCs w:val="8"/>
        </w:rPr>
      </w:r>
    </w:p>
    <w:p>
      <w:pPr>
        <w:tabs>
          <w:tab w:pos="2827" w:val="left" w:leader="none"/>
        </w:tabs>
        <w:spacing w:line="201" w:lineRule="exact" w:before="0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Economie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d’émissions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de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:</w:t>
        <w:tab/>
        <w:t>403 t/a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3286" w:val="right" w:leader="none"/>
        </w:tabs>
        <w:spacing w:line="172" w:lineRule="exact" w:before="106"/>
        <w:ind w:left="106" w:right="0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Nombre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d’installations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PV:</w:t>
        <w:tab/>
        <w:t>14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18" w:val="left" w:leader="none"/>
          <w:tab w:pos="2718" w:val="left" w:leader="none"/>
          <w:tab w:pos="2909" w:val="left" w:leader="none"/>
        </w:tabs>
        <w:spacing w:line="207" w:lineRule="auto" w:before="5"/>
        <w:ind w:left="106" w:right="273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Surface installée:</w:t>
        <w:tab/>
        <w:tab/>
        <w:t>2’893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21"/>
          <w:w w:val="10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Production annuelle:</w:t>
        <w:tab/>
        <w:t>341’280 kWh/a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Economie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d’émissions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de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:</w:t>
        <w:tab/>
        <w:tab/>
        <w:tab/>
        <w:t>49 t/a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116"/>
        <w:ind w:left="106" w:right="0" w:firstLine="0"/>
        <w:jc w:val="both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Contact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22.352112pt;width:167.25pt;height:.45pt;mso-position-horizontal-relative:page;mso-position-vertical-relative:paragraph;z-index:1096" coordorigin="7710,447" coordsize="3345,9">
            <v:group style="position:absolute;left:7732;top:451;width:3311;height:2" coordorigin="7732,451" coordsize="3311,2">
              <v:shape style="position:absolute;left:7732;top:451;width:3311;height:2" coordorigin="7732,451" coordsize="3311,0" path="m7732,451l11042,451e" filled="false" stroked="true" strokeweight=".425pt" strokecolor="#231f20">
                <v:path arrowok="t"/>
                <v:stroke dashstyle="dash"/>
              </v:shape>
            </v:group>
            <v:group style="position:absolute;left:7714;top:451;width:2;height:2" coordorigin="7714,451" coordsize="2,2">
              <v:shape style="position:absolute;left:7714;top:451;width:2;height:2" coordorigin="7714,451" coordsize="0,0" path="m7714,451l7714,451e" filled="false" stroked="true" strokeweight=".425pt" strokecolor="#231f20">
                <v:path arrowok="t"/>
              </v:shape>
            </v:group>
            <v:group style="position:absolute;left:11051;top:451;width:2;height:2" coordorigin="11051,451" coordsize="2,2">
              <v:shape style="position:absolute;left:11051;top:451;width:2;height:2" coordorigin="11051,451" coordsize="0,0" path="m11051,451l11051,451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 w:hAnsi="Theinhardt Regular"/>
          <w:color w:val="231F20"/>
          <w:sz w:val="14"/>
        </w:rPr>
        <w:t>Ville de Genève, Valérie Cerda, Stand 25, 1204 Genève</w:t>
      </w:r>
      <w:hyperlink r:id="rId5">
        <w:r>
          <w:rPr>
            <w:rFonts w:ascii="Theinhardt Regular" w:hAnsi="Theinhardt Regular"/>
            <w:color w:val="231F20"/>
            <w:spacing w:val="21"/>
            <w:sz w:val="14"/>
          </w:rPr>
          <w:t> </w:t>
        </w:r>
        <w:r>
          <w:rPr>
            <w:rFonts w:ascii="Theinhardt Regular" w:hAnsi="Theinhardt Regular"/>
            <w:color w:val="231F20"/>
            <w:sz w:val="14"/>
          </w:rPr>
          <w:t>Tél. 022 418 58 40, valerie.cerda@ville-ge.ch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16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8"/>
          <w:szCs w:val="18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49093" cy="519798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093" cy="51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3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2652" cy="263775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52" cy="26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1104" cy="263652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104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5"/>
          <w:szCs w:val="15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rénovation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cet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immeuble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démontre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la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capacité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la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Ville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Genève à atteindre les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objectifs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stratégie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2050.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L’indice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dépense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énergétique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du bâtiment a été réduit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par 3 au niveau des pertes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l’enveloppe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et par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10 pour la consommation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d’énergie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primaire.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Une année après la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rénovation,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la consommation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totale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du bâtiment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s’élevait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à 25’500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pose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panneaux solaires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hybrides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en 2014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est une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première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un bâtiment appartenant à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Ville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Genève.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D’une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surface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100m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elle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se compose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panneaux à la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fois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thermiques et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photovoltaïques.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8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Cette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thermique à la rue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Hoffmann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datant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1991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illustre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l’engagement</w:t>
      </w:r>
      <w:r>
        <w:rPr>
          <w:rFonts w:ascii="Theinhardt Bold" w:hAnsi="Theinhardt Bold" w:cs="Theinhardt Bold" w:eastAsia="Theinhardt Bold"/>
          <w:b/>
          <w:bCs/>
          <w:color w:val="231F20"/>
          <w:spacing w:val="4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long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cours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la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Ville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Genève 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matière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d’énergies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renouvelables.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39" w:space="133"/>
            <w:col w:w="3410" w:space="161"/>
            <w:col w:w="3567"/>
          </w:cols>
        </w:sect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alerie.cerda@ville-ge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2015-09-02T12:08:09Z</dcterms:created>
  <dcterms:modified xsi:type="dcterms:W3CDTF">2015-09-02T12:08:09Z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