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3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4.147207pt;width:.1pt;height:.1pt;mso-position-horizontal-relative:page;mso-position-vertical-relative:paragraph;z-index:-5872" coordorigin="571,283" coordsize="2,2">
            <v:shape style="position:absolute;left:571;top:283;width:2;height:2" coordorigin="571,283" coordsize="0,0" path="m571,283l57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147207pt;width:.1pt;height:.1pt;mso-position-horizontal-relative:page;mso-position-vertical-relative:paragraph;z-index:1168" coordorigin="3015,283" coordsize="2,2">
            <v:shape style="position:absolute;left:3015;top:283;width:2;height:2" coordorigin="3015,283" coordsize="0,0" path="m3015,283l301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647207pt;width:.1pt;height:.1pt;mso-position-horizontal-relative:page;mso-position-vertical-relative:paragraph;z-index:-5824" coordorigin="571,513" coordsize="2,2">
            <v:shape style="position:absolute;left:571;top:513;width:2;height:2" coordorigin="571,513" coordsize="0,0" path="m571,513l57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647207pt;width:.1pt;height:.1pt;mso-position-horizontal-relative:page;mso-position-vertical-relative:paragraph;z-index:1216" coordorigin="3015,513" coordsize="2,2">
            <v:shape style="position:absolute;left:3015;top:513;width:2;height:2" coordorigin="3015,513" coordsize="0,0" path="m3015,513l3015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     </w:t>
      </w:r>
      <w:r>
        <w:rPr>
          <w:rFonts w:ascii="Theinhardt Black" w:hAnsi="Theinhardt Black"/>
          <w:b/>
          <w:color w:val="231F20"/>
          <w:spacing w:val="17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Black" w:hAnsi="Theinhardt Black"/>
          <w:b/>
          <w:color w:val="231F20"/>
          <w:spacing w:val="4"/>
          <w:w w:val="95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Sanierungen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</w:t>
      </w:r>
      <w:r>
        <w:rPr>
          <w:rFonts w:ascii="Theinhardt Black" w:hAnsi="Theinhardt Black"/>
          <w:b/>
          <w:color w:val="231F20"/>
          <w:spacing w:val="-6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pacing w:val="-6"/>
          <w:sz w:val="18"/>
        </w:rPr>
      </w:r>
      <w:r>
        <w:rPr>
          <w:rFonts w:ascii="Theinhardt Black" w:hAnsi="Theinhardt Black"/>
          <w:b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2015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Weingut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Davaz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Fläsch/GR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1977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erbaut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letzten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15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Jahren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sukzessive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erneuert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ausgebaut.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fügt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schlicht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unaufdringlich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Wein-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berge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Genauso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selbstverständlich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Schrägdächer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flache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Neigung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fein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ausgestalteten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Dachrandabschlüsse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führen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dazu,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dass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Solaran-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lagen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vom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Terrain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nur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erahnen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sind.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umfassenden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Wärmedämmung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bis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24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cm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und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LED-Beleuchtung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beträgt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heute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144’600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drei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Dachflächen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verteilten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62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66’100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decken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sie damit 46% des Gesamtenergiebedarfs ab.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z w:val="40"/>
        </w:rPr>
        <w:t>Solares Weingut Davaz, 7306 Fläsch/GR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Am</w:t>
      </w:r>
      <w:r>
        <w:rPr>
          <w:color w:val="231F20"/>
          <w:spacing w:val="4"/>
        </w:rPr>
        <w:t> </w:t>
      </w:r>
      <w:r>
        <w:rPr>
          <w:color w:val="231F20"/>
        </w:rPr>
        <w:t>Fusse</w:t>
      </w:r>
      <w:r>
        <w:rPr>
          <w:color w:val="231F20"/>
          <w:spacing w:val="4"/>
        </w:rPr>
        <w:t> </w:t>
      </w:r>
      <w:r>
        <w:rPr>
          <w:color w:val="231F20"/>
        </w:rPr>
        <w:t>des</w:t>
      </w:r>
      <w:r>
        <w:rPr>
          <w:color w:val="231F20"/>
          <w:spacing w:val="4"/>
        </w:rPr>
        <w:t> </w:t>
      </w:r>
      <w:r>
        <w:rPr>
          <w:color w:val="231F20"/>
        </w:rPr>
        <w:t>mächtigen</w:t>
      </w:r>
      <w:r>
        <w:rPr>
          <w:color w:val="231F20"/>
          <w:spacing w:val="4"/>
        </w:rPr>
        <w:t> </w:t>
      </w:r>
      <w:r>
        <w:rPr>
          <w:color w:val="231F20"/>
        </w:rPr>
        <w:t>Falknismassivs</w:t>
      </w:r>
      <w:r>
        <w:rPr>
          <w:color w:val="231F20"/>
        </w:rPr>
        <w:t> befindet</w:t>
      </w:r>
      <w:r>
        <w:rPr>
          <w:color w:val="231F20"/>
          <w:spacing w:val="9"/>
        </w:rPr>
        <w:t> </w:t>
      </w:r>
      <w:r>
        <w:rPr>
          <w:color w:val="231F20"/>
        </w:rPr>
        <w:t>sich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Fläsch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9"/>
        </w:rPr>
        <w:t> </w:t>
      </w:r>
      <w:r>
        <w:rPr>
          <w:color w:val="231F20"/>
        </w:rPr>
        <w:t>Weingut</w:t>
      </w:r>
      <w:r>
        <w:rPr>
          <w:color w:val="231F20"/>
          <w:spacing w:val="9"/>
        </w:rPr>
        <w:t> </w:t>
      </w:r>
      <w:r>
        <w:rPr>
          <w:color w:val="231F20"/>
        </w:rPr>
        <w:t>Davaz,</w:t>
      </w:r>
      <w:r>
        <w:rPr>
          <w:color w:val="231F20"/>
        </w:rPr>
        <w:t> auf</w:t>
      </w:r>
      <w:r>
        <w:rPr>
          <w:color w:val="231F20"/>
          <w:spacing w:val="27"/>
        </w:rPr>
        <w:t> </w:t>
      </w:r>
      <w:r>
        <w:rPr>
          <w:color w:val="231F20"/>
        </w:rPr>
        <w:t>dem</w:t>
      </w:r>
      <w:r>
        <w:rPr>
          <w:color w:val="231F20"/>
          <w:spacing w:val="28"/>
        </w:rPr>
        <w:t> </w:t>
      </w:r>
      <w:r>
        <w:rPr>
          <w:color w:val="231F20"/>
        </w:rPr>
        <w:t>gleichzeitig</w:t>
      </w:r>
      <w:r>
        <w:rPr>
          <w:color w:val="231F20"/>
          <w:spacing w:val="27"/>
        </w:rPr>
        <w:t> </w:t>
      </w:r>
      <w:r>
        <w:rPr>
          <w:color w:val="231F20"/>
        </w:rPr>
        <w:t>Wein</w:t>
      </w:r>
      <w:r>
        <w:rPr>
          <w:color w:val="231F20"/>
          <w:spacing w:val="28"/>
        </w:rPr>
        <w:t> </w:t>
      </w:r>
      <w:r>
        <w:rPr>
          <w:color w:val="231F20"/>
        </w:rPr>
        <w:t>und</w:t>
      </w:r>
      <w:r>
        <w:rPr>
          <w:color w:val="231F20"/>
          <w:spacing w:val="28"/>
        </w:rPr>
        <w:t> </w:t>
      </w:r>
      <w:r>
        <w:rPr>
          <w:color w:val="231F20"/>
        </w:rPr>
        <w:t>Sonne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22"/>
        </w:rPr>
        <w:t> </w:t>
      </w:r>
      <w:r>
        <w:rPr>
          <w:color w:val="231F20"/>
        </w:rPr>
        <w:t>erntet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werden.</w:t>
      </w:r>
      <w:r>
        <w:rPr>
          <w:color w:val="231F20"/>
          <w:spacing w:val="36"/>
        </w:rPr>
        <w:t> </w:t>
      </w:r>
      <w:r>
        <w:rPr>
          <w:color w:val="231F20"/>
        </w:rPr>
        <w:t>Seit</w:t>
      </w:r>
      <w:r>
        <w:rPr>
          <w:color w:val="231F20"/>
          <w:spacing w:val="35"/>
        </w:rPr>
        <w:t> </w:t>
      </w:r>
      <w:r>
        <w:rPr>
          <w:color w:val="231F20"/>
        </w:rPr>
        <w:t>über</w:t>
      </w:r>
      <w:r>
        <w:rPr>
          <w:color w:val="231F20"/>
          <w:spacing w:val="36"/>
        </w:rPr>
        <w:t> </w:t>
      </w:r>
      <w:r>
        <w:rPr>
          <w:color w:val="231F20"/>
        </w:rPr>
        <w:t>einem</w:t>
      </w:r>
      <w:r>
        <w:rPr>
          <w:color w:val="231F20"/>
          <w:spacing w:val="36"/>
        </w:rPr>
        <w:t> </w:t>
      </w:r>
      <w:r>
        <w:rPr>
          <w:color w:val="231F20"/>
        </w:rPr>
        <w:t>Jahrzehnt</w:t>
      </w:r>
      <w:r>
        <w:rPr>
          <w:color w:val="231F20"/>
          <w:spacing w:val="21"/>
        </w:rPr>
        <w:t> </w:t>
      </w:r>
      <w:r>
        <w:rPr>
          <w:color w:val="231F20"/>
        </w:rPr>
        <w:t>wurden</w:t>
      </w:r>
      <w:r>
        <w:rPr>
          <w:color w:val="231F20"/>
          <w:spacing w:val="14"/>
        </w:rPr>
        <w:t> </w:t>
      </w:r>
      <w:r>
        <w:rPr>
          <w:color w:val="231F20"/>
        </w:rPr>
        <w:t>die</w:t>
      </w:r>
      <w:r>
        <w:rPr>
          <w:color w:val="231F20"/>
          <w:spacing w:val="14"/>
        </w:rPr>
        <w:t> </w:t>
      </w:r>
      <w:r>
        <w:rPr>
          <w:color w:val="231F20"/>
        </w:rPr>
        <w:t>Bauten</w:t>
      </w:r>
      <w:r>
        <w:rPr>
          <w:color w:val="231F20"/>
          <w:spacing w:val="14"/>
        </w:rPr>
        <w:t> </w:t>
      </w:r>
      <w:r>
        <w:rPr>
          <w:color w:val="231F20"/>
        </w:rPr>
        <w:t>saniert</w:t>
      </w:r>
      <w:r>
        <w:rPr>
          <w:color w:val="231F20"/>
          <w:spacing w:val="14"/>
        </w:rPr>
        <w:t> </w:t>
      </w:r>
      <w:r>
        <w:rPr>
          <w:color w:val="231F20"/>
        </w:rPr>
        <w:t>und</w:t>
      </w:r>
      <w:r>
        <w:rPr>
          <w:color w:val="231F20"/>
          <w:spacing w:val="14"/>
        </w:rPr>
        <w:t> </w:t>
      </w:r>
      <w:r>
        <w:rPr>
          <w:color w:val="231F20"/>
        </w:rPr>
        <w:t>ausgebaut.</w:t>
      </w:r>
      <w:r>
        <w:rPr>
          <w:color w:val="231F20"/>
        </w:rPr>
        <w:t> Dadurch</w:t>
      </w:r>
      <w:r>
        <w:rPr>
          <w:color w:val="231F20"/>
          <w:spacing w:val="34"/>
        </w:rPr>
        <w:t> </w:t>
      </w:r>
      <w:r>
        <w:rPr>
          <w:color w:val="231F20"/>
        </w:rPr>
        <w:t>vergrösserte</w:t>
      </w:r>
      <w:r>
        <w:rPr>
          <w:color w:val="231F20"/>
          <w:spacing w:val="35"/>
        </w:rPr>
        <w:t> </w:t>
      </w:r>
      <w:r>
        <w:rPr>
          <w:color w:val="231F20"/>
        </w:rPr>
        <w:t>sich</w:t>
      </w:r>
      <w:r>
        <w:rPr>
          <w:color w:val="231F20"/>
          <w:spacing w:val="34"/>
        </w:rPr>
        <w:t> </w:t>
      </w:r>
      <w:r>
        <w:rPr>
          <w:color w:val="231F20"/>
        </w:rPr>
        <w:t>die</w:t>
      </w:r>
      <w:r>
        <w:rPr>
          <w:color w:val="231F20"/>
          <w:spacing w:val="35"/>
        </w:rPr>
        <w:t> </w:t>
      </w:r>
      <w:r>
        <w:rPr>
          <w:color w:val="231F20"/>
        </w:rPr>
        <w:t>Energiebe-</w:t>
      </w:r>
      <w:r>
        <w:rPr>
          <w:color w:val="231F20"/>
        </w:rPr>
        <w:t> zugsfläche</w:t>
      </w:r>
      <w:r>
        <w:rPr>
          <w:color w:val="231F20"/>
          <w:spacing w:val="25"/>
        </w:rPr>
        <w:t> </w:t>
      </w:r>
      <w:r>
        <w:rPr>
          <w:color w:val="231F20"/>
        </w:rPr>
        <w:t>(EBF)</w:t>
      </w:r>
      <w:r>
        <w:rPr>
          <w:color w:val="231F20"/>
          <w:spacing w:val="24"/>
        </w:rPr>
        <w:t> </w:t>
      </w:r>
      <w:r>
        <w:rPr>
          <w:color w:val="231F20"/>
        </w:rPr>
        <w:t>von</w:t>
      </w:r>
      <w:r>
        <w:rPr>
          <w:color w:val="231F20"/>
          <w:spacing w:val="25"/>
        </w:rPr>
        <w:t> </w:t>
      </w:r>
      <w:r>
        <w:rPr>
          <w:color w:val="231F20"/>
        </w:rPr>
        <w:t>1’000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0"/>
          <w:position w:val="6"/>
          <w:sz w:val="10"/>
          <w:szCs w:val="10"/>
        </w:rPr>
        <w:t> </w:t>
      </w:r>
      <w:r>
        <w:rPr>
          <w:color w:val="231F20"/>
        </w:rPr>
        <w:t>auf</w:t>
      </w:r>
      <w:r>
        <w:rPr>
          <w:color w:val="231F20"/>
          <w:spacing w:val="25"/>
        </w:rPr>
        <w:t> </w:t>
      </w:r>
      <w:r>
        <w:rPr>
          <w:color w:val="231F20"/>
        </w:rPr>
        <w:t>1’843</w:t>
      </w:r>
      <w:r>
        <w:rPr>
          <w:color w:val="231F20"/>
          <w:spacing w:val="21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.</w:t>
      </w:r>
      <w:r>
        <w:rPr>
          <w:color w:val="231F20"/>
          <w:spacing w:val="37"/>
        </w:rPr>
        <w:t> </w:t>
      </w:r>
      <w:r>
        <w:rPr>
          <w:color w:val="231F20"/>
        </w:rPr>
        <w:t>Die</w:t>
      </w:r>
      <w:r>
        <w:rPr>
          <w:color w:val="231F20"/>
          <w:spacing w:val="36"/>
        </w:rPr>
        <w:t> </w:t>
      </w:r>
      <w:r>
        <w:rPr>
          <w:color w:val="231F20"/>
        </w:rPr>
        <w:t>Erweiterung</w:t>
      </w:r>
      <w:r>
        <w:rPr>
          <w:color w:val="231F20"/>
          <w:spacing w:val="37"/>
        </w:rPr>
        <w:t> </w:t>
      </w:r>
      <w:r>
        <w:rPr>
          <w:color w:val="231F20"/>
        </w:rPr>
        <w:t>und</w:t>
      </w:r>
      <w:r>
        <w:rPr>
          <w:color w:val="231F20"/>
          <w:spacing w:val="37"/>
        </w:rPr>
        <w:t> </w:t>
      </w:r>
      <w:r>
        <w:rPr>
          <w:color w:val="231F20"/>
        </w:rPr>
        <w:t>der</w:t>
      </w:r>
      <w:r>
        <w:rPr>
          <w:color w:val="231F20"/>
          <w:spacing w:val="37"/>
        </w:rPr>
        <w:t> </w:t>
      </w:r>
      <w:r>
        <w:rPr>
          <w:color w:val="231F20"/>
        </w:rPr>
        <w:t>Umbau</w:t>
      </w:r>
      <w:r>
        <w:rPr>
          <w:color w:val="231F20"/>
          <w:spacing w:val="37"/>
        </w:rPr>
        <w:t> </w:t>
      </w:r>
      <w:r>
        <w:rPr>
          <w:color w:val="231F20"/>
        </w:rPr>
        <w:t>des</w:t>
      </w:r>
      <w:r>
        <w:rPr>
          <w:color w:val="231F20"/>
        </w:rPr>
        <w:t> Weinguts</w:t>
      </w:r>
      <w:r>
        <w:rPr>
          <w:color w:val="231F20"/>
          <w:spacing w:val="45"/>
        </w:rPr>
        <w:t> </w:t>
      </w:r>
      <w:r>
        <w:rPr>
          <w:color w:val="231F20"/>
        </w:rPr>
        <w:t>schafften</w:t>
      </w:r>
      <w:r>
        <w:rPr>
          <w:color w:val="231F20"/>
          <w:spacing w:val="46"/>
        </w:rPr>
        <w:t> </w:t>
      </w:r>
      <w:r>
        <w:rPr>
          <w:color w:val="231F20"/>
        </w:rPr>
        <w:t>den</w:t>
      </w:r>
      <w:r>
        <w:rPr>
          <w:color w:val="231F20"/>
          <w:spacing w:val="45"/>
        </w:rPr>
        <w:t> </w:t>
      </w:r>
      <w:r>
        <w:rPr>
          <w:color w:val="231F20"/>
        </w:rPr>
        <w:t>benötigten</w:t>
      </w:r>
      <w:r>
        <w:rPr>
          <w:color w:val="231F20"/>
          <w:spacing w:val="46"/>
        </w:rPr>
        <w:t> </w:t>
      </w:r>
      <w:r>
        <w:rPr>
          <w:color w:val="231F20"/>
        </w:rPr>
        <w:t>Platz,</w:t>
      </w:r>
      <w:r>
        <w:rPr>
          <w:color w:val="231F20"/>
        </w:rPr>
        <w:t> um</w:t>
      </w:r>
      <w:r>
        <w:rPr>
          <w:color w:val="231F20"/>
          <w:spacing w:val="-3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betrieblichen</w:t>
      </w:r>
      <w:r>
        <w:rPr>
          <w:color w:val="231F20"/>
          <w:spacing w:val="-3"/>
        </w:rPr>
        <w:t> </w:t>
      </w:r>
      <w:r>
        <w:rPr>
          <w:color w:val="231F20"/>
        </w:rPr>
        <w:t>Abläufe</w:t>
      </w:r>
      <w:r>
        <w:rPr>
          <w:color w:val="231F20"/>
          <w:spacing w:val="-3"/>
        </w:rPr>
        <w:t> </w:t>
      </w:r>
      <w:r>
        <w:rPr>
          <w:color w:val="231F20"/>
        </w:rPr>
        <w:t>zu</w:t>
      </w:r>
      <w:r>
        <w:rPr>
          <w:color w:val="231F20"/>
          <w:spacing w:val="-3"/>
        </w:rPr>
        <w:t> </w:t>
      </w:r>
      <w:r>
        <w:rPr>
          <w:color w:val="231F20"/>
        </w:rPr>
        <w:t>optimieren.</w:t>
      </w:r>
      <w:r>
        <w:rPr>
          <w:color w:val="231F20"/>
        </w:rPr>
        <w:t> Heute</w:t>
      </w:r>
      <w:r>
        <w:rPr>
          <w:color w:val="231F20"/>
          <w:spacing w:val="-8"/>
        </w:rPr>
        <w:t> </w:t>
      </w:r>
      <w:r>
        <w:rPr>
          <w:color w:val="231F20"/>
        </w:rPr>
        <w:t>verbraucht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Weingut,</w:t>
      </w:r>
      <w:r>
        <w:rPr>
          <w:color w:val="231F20"/>
          <w:spacing w:val="-8"/>
        </w:rPr>
        <w:t> </w:t>
      </w:r>
      <w:r>
        <w:rPr>
          <w:color w:val="231F20"/>
        </w:rPr>
        <w:t>welches</w:t>
      </w:r>
      <w:r>
        <w:rPr>
          <w:color w:val="231F20"/>
          <w:spacing w:val="-8"/>
        </w:rPr>
        <w:t> </w:t>
      </w:r>
      <w:r>
        <w:rPr>
          <w:color w:val="231F20"/>
        </w:rPr>
        <w:t>aus</w:t>
      </w:r>
      <w:r>
        <w:rPr>
          <w:color w:val="231F20"/>
        </w:rPr>
        <w:t> Wohnhaus,</w:t>
      </w:r>
      <w:r>
        <w:rPr>
          <w:color w:val="231F20"/>
          <w:spacing w:val="-5"/>
        </w:rPr>
        <w:t> </w:t>
      </w:r>
      <w:r>
        <w:rPr>
          <w:color w:val="231F20"/>
        </w:rPr>
        <w:t>Remise,</w:t>
      </w:r>
      <w:r>
        <w:rPr>
          <w:color w:val="231F20"/>
          <w:spacing w:val="-5"/>
        </w:rPr>
        <w:t> </w:t>
      </w:r>
      <w:r>
        <w:rPr>
          <w:color w:val="231F20"/>
        </w:rPr>
        <w:t>Vinothek,</w:t>
      </w:r>
      <w:r>
        <w:rPr>
          <w:color w:val="231F20"/>
          <w:spacing w:val="-5"/>
        </w:rPr>
        <w:t> </w:t>
      </w:r>
      <w:r>
        <w:rPr>
          <w:color w:val="231F20"/>
        </w:rPr>
        <w:t>Cuverie,</w:t>
      </w:r>
      <w:r>
        <w:rPr>
          <w:color w:val="231F20"/>
          <w:spacing w:val="-5"/>
        </w:rPr>
        <w:t> </w:t>
      </w:r>
      <w:r>
        <w:rPr>
          <w:color w:val="231F20"/>
        </w:rPr>
        <w:t>Gär-</w:t>
      </w:r>
      <w:r>
        <w:rPr>
          <w:color w:val="231F20"/>
        </w:rPr>
        <w:t> keller, Barriquekeller, Tankkeller und einem Kräutergarten besteht, 144’600 kWh/a.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-2"/>
        </w:rPr>
        <w:t> </w:t>
      </w:r>
      <w:r>
        <w:rPr>
          <w:color w:val="231F20"/>
        </w:rPr>
        <w:t>sank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25%</w:t>
      </w:r>
      <w:r>
        <w:rPr>
          <w:color w:val="231F20"/>
        </w:rPr>
        <w:t> oder</w:t>
      </w:r>
      <w:r>
        <w:rPr>
          <w:color w:val="231F20"/>
          <w:spacing w:val="29"/>
        </w:rPr>
        <w:t> </w:t>
      </w:r>
      <w:r>
        <w:rPr>
          <w:color w:val="231F20"/>
        </w:rPr>
        <w:t>von</w:t>
      </w:r>
      <w:r>
        <w:rPr>
          <w:color w:val="231F20"/>
          <w:spacing w:val="29"/>
        </w:rPr>
        <w:t> </w:t>
      </w:r>
      <w:r>
        <w:rPr>
          <w:color w:val="231F20"/>
        </w:rPr>
        <w:t>105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auf</w:t>
      </w:r>
      <w:r>
        <w:rPr>
          <w:color w:val="231F20"/>
          <w:spacing w:val="29"/>
        </w:rPr>
        <w:t> </w:t>
      </w:r>
      <w:r>
        <w:rPr>
          <w:color w:val="231F20"/>
        </w:rPr>
        <w:t>78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a.</w:t>
      </w:r>
      <w:r>
        <w:rPr>
          <w:color w:val="231F20"/>
          <w:spacing w:val="26"/>
        </w:rPr>
        <w:t> </w:t>
      </w:r>
      <w:r>
        <w:rPr>
          <w:color w:val="231F20"/>
        </w:rPr>
        <w:t>Dies</w:t>
      </w:r>
      <w:r>
        <w:rPr>
          <w:color w:val="231F20"/>
          <w:spacing w:val="28"/>
        </w:rPr>
        <w:t> </w:t>
      </w:r>
      <w:r>
        <w:rPr>
          <w:color w:val="231F20"/>
        </w:rPr>
        <w:t>vor</w:t>
      </w:r>
      <w:r>
        <w:rPr>
          <w:color w:val="231F20"/>
          <w:spacing w:val="29"/>
        </w:rPr>
        <w:t> </w:t>
      </w:r>
      <w:r>
        <w:rPr>
          <w:color w:val="231F20"/>
        </w:rPr>
        <w:t>allem</w:t>
      </w:r>
      <w:r>
        <w:rPr>
          <w:color w:val="231F20"/>
          <w:spacing w:val="28"/>
        </w:rPr>
        <w:t> </w:t>
      </w:r>
      <w:r>
        <w:rPr>
          <w:color w:val="231F20"/>
        </w:rPr>
        <w:t>dank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29"/>
        </w:rPr>
        <w:t> </w:t>
      </w:r>
      <w:r>
        <w:rPr>
          <w:color w:val="231F20"/>
        </w:rPr>
        <w:t>Isolation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22"/>
        </w:rPr>
        <w:t> </w:t>
      </w:r>
      <w:r>
        <w:rPr>
          <w:color w:val="231F20"/>
        </w:rPr>
        <w:t>bäudehülle,</w:t>
      </w:r>
      <w:r>
        <w:rPr>
          <w:color w:val="231F20"/>
          <w:spacing w:val="24"/>
        </w:rPr>
        <w:t> </w:t>
      </w:r>
      <w:r>
        <w:rPr>
          <w:color w:val="231F20"/>
        </w:rPr>
        <w:t>den</w:t>
      </w:r>
      <w:r>
        <w:rPr>
          <w:color w:val="231F20"/>
          <w:spacing w:val="25"/>
        </w:rPr>
        <w:t> </w:t>
      </w:r>
      <w:r>
        <w:rPr>
          <w:color w:val="231F20"/>
        </w:rPr>
        <w:t>dreifach</w:t>
      </w:r>
      <w:r>
        <w:rPr>
          <w:color w:val="231F20"/>
          <w:spacing w:val="24"/>
        </w:rPr>
        <w:t> </w:t>
      </w:r>
      <w:r>
        <w:rPr>
          <w:color w:val="231F20"/>
        </w:rPr>
        <w:t>verglasten</w:t>
      </w:r>
      <w:r>
        <w:rPr>
          <w:color w:val="231F20"/>
          <w:spacing w:val="25"/>
        </w:rPr>
        <w:t> </w:t>
      </w:r>
      <w:r>
        <w:rPr>
          <w:color w:val="231F20"/>
        </w:rPr>
        <w:t>Fens-</w:t>
      </w:r>
      <w:r>
        <w:rPr>
          <w:color w:val="231F20"/>
        </w:rPr>
        <w:t> tern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dem</w:t>
      </w:r>
      <w:r>
        <w:rPr>
          <w:color w:val="231F20"/>
          <w:spacing w:val="21"/>
        </w:rPr>
        <w:t> </w:t>
      </w:r>
      <w:r>
        <w:rPr>
          <w:color w:val="231F20"/>
        </w:rPr>
        <w:t>Einbau</w:t>
      </w:r>
      <w:r>
        <w:rPr>
          <w:color w:val="231F20"/>
          <w:spacing w:val="21"/>
        </w:rPr>
        <w:t> </w:t>
      </w:r>
      <w:r>
        <w:rPr>
          <w:color w:val="231F20"/>
        </w:rPr>
        <w:t>einer</w:t>
      </w:r>
      <w:r>
        <w:rPr>
          <w:color w:val="231F20"/>
          <w:spacing w:val="21"/>
        </w:rPr>
        <w:t> </w:t>
      </w:r>
      <w:r>
        <w:rPr>
          <w:color w:val="231F20"/>
        </w:rPr>
        <w:t>Wärmepumpe,</w:t>
      </w:r>
      <w:r>
        <w:rPr>
          <w:color w:val="231F20"/>
        </w:rPr>
        <w:t> </w:t>
      </w:r>
      <w:r>
        <w:rPr>
          <w:color w:val="231F20"/>
          <w:spacing w:val="-2"/>
        </w:rPr>
        <w:t>welche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Grundlast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deckt.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Spitzen-</w:t>
      </w:r>
      <w:r>
        <w:rPr>
          <w:color w:val="231F20"/>
          <w:spacing w:val="23"/>
        </w:rPr>
        <w:t> </w:t>
      </w:r>
      <w:r>
        <w:rPr>
          <w:color w:val="231F20"/>
        </w:rPr>
        <w:t>last</w:t>
      </w:r>
      <w:r>
        <w:rPr>
          <w:color w:val="231F20"/>
          <w:spacing w:val="35"/>
        </w:rPr>
        <w:t> </w:t>
      </w:r>
      <w:r>
        <w:rPr>
          <w:color w:val="231F20"/>
        </w:rPr>
        <w:t>kommt</w:t>
      </w:r>
      <w:r>
        <w:rPr>
          <w:color w:val="231F20"/>
          <w:spacing w:val="36"/>
        </w:rPr>
        <w:t> </w:t>
      </w:r>
      <w:r>
        <w:rPr>
          <w:color w:val="231F20"/>
        </w:rPr>
        <w:t>weiterhin</w:t>
      </w:r>
      <w:r>
        <w:rPr>
          <w:color w:val="231F20"/>
          <w:spacing w:val="35"/>
        </w:rPr>
        <w:t> </w:t>
      </w:r>
      <w:r>
        <w:rPr>
          <w:color w:val="231F20"/>
        </w:rPr>
        <w:t>eine</w:t>
      </w:r>
      <w:r>
        <w:rPr>
          <w:color w:val="231F20"/>
          <w:spacing w:val="36"/>
        </w:rPr>
        <w:t> </w:t>
      </w:r>
      <w:r>
        <w:rPr>
          <w:color w:val="231F20"/>
        </w:rPr>
        <w:t>Ölheizung</w:t>
      </w:r>
      <w:r>
        <w:rPr>
          <w:color w:val="231F20"/>
          <w:spacing w:val="36"/>
        </w:rPr>
        <w:t> </w:t>
      </w:r>
      <w:r>
        <w:rPr>
          <w:color w:val="231F20"/>
        </w:rPr>
        <w:t>zum</w:t>
      </w:r>
      <w:r>
        <w:rPr>
          <w:color w:val="231F20"/>
        </w:rPr>
        <w:t> Einsatz,</w:t>
      </w:r>
      <w:r>
        <w:rPr>
          <w:color w:val="231F20"/>
          <w:spacing w:val="14"/>
        </w:rPr>
        <w:t> </w:t>
      </w:r>
      <w:r>
        <w:rPr>
          <w:color w:val="231F20"/>
        </w:rPr>
        <w:t>deren</w:t>
      </w:r>
      <w:r>
        <w:rPr>
          <w:color w:val="231F20"/>
          <w:spacing w:val="14"/>
        </w:rPr>
        <w:t> </w:t>
      </w:r>
      <w:r>
        <w:rPr>
          <w:color w:val="231F20"/>
        </w:rPr>
        <w:t>Verbrauch</w:t>
      </w:r>
      <w:r>
        <w:rPr>
          <w:color w:val="231F20"/>
          <w:spacing w:val="14"/>
        </w:rPr>
        <w:t> </w:t>
      </w:r>
      <w:r>
        <w:rPr>
          <w:color w:val="231F20"/>
        </w:rPr>
        <w:t>aber</w:t>
      </w:r>
      <w:r>
        <w:rPr>
          <w:color w:val="231F20"/>
          <w:spacing w:val="14"/>
        </w:rPr>
        <w:t> </w:t>
      </w:r>
      <w:r>
        <w:rPr>
          <w:color w:val="231F20"/>
        </w:rPr>
        <w:t>von</w:t>
      </w:r>
      <w:r>
        <w:rPr>
          <w:color w:val="231F20"/>
          <w:spacing w:val="14"/>
        </w:rPr>
        <w:t> </w:t>
      </w:r>
      <w:r>
        <w:rPr>
          <w:color w:val="231F20"/>
        </w:rPr>
        <w:t>80’000</w:t>
      </w:r>
      <w:r>
        <w:rPr>
          <w:color w:val="231F20"/>
        </w:rPr>
        <w:t> kWh/a auf 5’000 kWh/a sank. Die Energie- versorgung</w:t>
      </w:r>
      <w:r>
        <w:rPr>
          <w:color w:val="231F20"/>
          <w:spacing w:val="-9"/>
        </w:rPr>
        <w:t> </w:t>
      </w:r>
      <w:r>
        <w:rPr>
          <w:color w:val="231F20"/>
        </w:rPr>
        <w:t>deckt</w:t>
      </w:r>
      <w:r>
        <w:rPr>
          <w:color w:val="231F20"/>
          <w:spacing w:val="-9"/>
        </w:rPr>
        <w:t> </w:t>
      </w:r>
      <w:r>
        <w:rPr>
          <w:color w:val="231F20"/>
        </w:rPr>
        <w:t>46%</w:t>
      </w:r>
      <w:r>
        <w:rPr>
          <w:color w:val="231F20"/>
          <w:spacing w:val="-9"/>
        </w:rPr>
        <w:t> </w:t>
      </w:r>
      <w:r>
        <w:rPr>
          <w:color w:val="231F20"/>
        </w:rPr>
        <w:t>des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Gesamtenergie-</w:t>
      </w:r>
      <w:r>
        <w:rPr>
          <w:color w:val="231F20"/>
          <w:spacing w:val="26"/>
        </w:rPr>
        <w:t> </w:t>
      </w:r>
      <w:r>
        <w:rPr>
          <w:color w:val="231F20"/>
        </w:rPr>
        <w:t>bedarfs</w:t>
      </w:r>
      <w:r>
        <w:rPr>
          <w:color w:val="231F20"/>
          <w:spacing w:val="-8"/>
        </w:rPr>
        <w:t> </w:t>
      </w:r>
      <w:r>
        <w:rPr>
          <w:color w:val="231F20"/>
        </w:rPr>
        <w:t>der</w:t>
      </w:r>
      <w:r>
        <w:rPr>
          <w:color w:val="231F20"/>
          <w:spacing w:val="-8"/>
        </w:rPr>
        <w:t> </w:t>
      </w:r>
      <w:r>
        <w:rPr>
          <w:color w:val="231F20"/>
        </w:rPr>
        <w:t>Weinproduktion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Wohn-</w:t>
      </w:r>
      <w:r>
        <w:rPr>
          <w:color w:val="231F20"/>
          <w:spacing w:val="24"/>
        </w:rPr>
        <w:t> </w:t>
      </w:r>
      <w:r>
        <w:rPr>
          <w:color w:val="231F20"/>
        </w:rPr>
        <w:t>gebäudes,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dem</w:t>
      </w:r>
      <w:r>
        <w:rPr>
          <w:color w:val="231F20"/>
          <w:spacing w:val="-2"/>
        </w:rPr>
        <w:t> </w:t>
      </w:r>
      <w:r>
        <w:rPr>
          <w:color w:val="231F20"/>
        </w:rPr>
        <w:t>drei</w:t>
      </w:r>
      <w:r>
        <w:rPr>
          <w:color w:val="231F20"/>
          <w:spacing w:val="-2"/>
        </w:rPr>
        <w:t> </w:t>
      </w:r>
      <w:r>
        <w:rPr>
          <w:color w:val="231F20"/>
        </w:rPr>
        <w:t>Generationen</w:t>
      </w:r>
      <w:r>
        <w:rPr>
          <w:color w:val="231F20"/>
          <w:spacing w:val="-2"/>
        </w:rPr>
        <w:t> </w:t>
      </w:r>
      <w:r>
        <w:rPr>
          <w:color w:val="231F20"/>
        </w:rPr>
        <w:t>leben.</w:t>
      </w:r>
      <w:r>
        <w:rPr>
          <w:color w:val="231F20"/>
        </w:rPr>
        <w:t> Die</w:t>
      </w:r>
      <w:r>
        <w:rPr>
          <w:color w:val="231F20"/>
          <w:spacing w:val="41"/>
        </w:rPr>
        <w:t> </w:t>
      </w:r>
      <w:r>
        <w:rPr>
          <w:color w:val="231F20"/>
        </w:rPr>
        <w:t>auf</w:t>
      </w:r>
      <w:r>
        <w:rPr>
          <w:color w:val="231F20"/>
          <w:spacing w:val="42"/>
        </w:rPr>
        <w:t> </w:t>
      </w:r>
      <w:r>
        <w:rPr>
          <w:color w:val="231F20"/>
        </w:rPr>
        <w:t>drei</w:t>
      </w:r>
      <w:r>
        <w:rPr>
          <w:color w:val="231F20"/>
          <w:spacing w:val="41"/>
        </w:rPr>
        <w:t> </w:t>
      </w:r>
      <w:r>
        <w:rPr>
          <w:color w:val="231F20"/>
        </w:rPr>
        <w:t>Dächern</w:t>
      </w:r>
      <w:r>
        <w:rPr>
          <w:color w:val="231F20"/>
          <w:spacing w:val="42"/>
        </w:rPr>
        <w:t> </w:t>
      </w:r>
      <w:r>
        <w:rPr>
          <w:color w:val="231F20"/>
        </w:rPr>
        <w:t>ganzflächig</w:t>
      </w:r>
      <w:r>
        <w:rPr>
          <w:color w:val="231F20"/>
          <w:spacing w:val="42"/>
        </w:rPr>
        <w:t> </w:t>
      </w:r>
      <w:r>
        <w:rPr>
          <w:color w:val="231F20"/>
        </w:rPr>
        <w:t>seiten-,</w:t>
      </w:r>
      <w:r>
        <w:rPr>
          <w:color w:val="231F20"/>
        </w:rPr>
        <w:t> trauf-</w:t>
      </w:r>
      <w:r>
        <w:rPr>
          <w:color w:val="231F20"/>
          <w:spacing w:val="-13"/>
        </w:rPr>
        <w:t> </w:t>
      </w:r>
      <w:r>
        <w:rPr>
          <w:color w:val="231F20"/>
        </w:rPr>
        <w:t>und</w:t>
      </w:r>
      <w:r>
        <w:rPr>
          <w:color w:val="231F20"/>
          <w:spacing w:val="-13"/>
        </w:rPr>
        <w:t> </w:t>
      </w:r>
      <w:r>
        <w:rPr>
          <w:color w:val="231F20"/>
        </w:rPr>
        <w:t>firstbündig</w:t>
      </w:r>
      <w:r>
        <w:rPr>
          <w:color w:val="231F20"/>
          <w:spacing w:val="-13"/>
        </w:rPr>
        <w:t> </w:t>
      </w:r>
      <w:r>
        <w:rPr>
          <w:color w:val="231F20"/>
        </w:rPr>
        <w:t>integrierte</w:t>
      </w:r>
      <w:r>
        <w:rPr>
          <w:color w:val="231F20"/>
          <w:spacing w:val="-13"/>
        </w:rPr>
        <w:t> </w:t>
      </w:r>
      <w:r>
        <w:rPr>
          <w:color w:val="231F20"/>
        </w:rPr>
        <w:t>62</w:t>
      </w:r>
      <w:r>
        <w:rPr>
          <w:color w:val="231F20"/>
          <w:spacing w:val="-13"/>
        </w:rPr>
        <w:t> </w:t>
      </w:r>
      <w:r>
        <w:rPr>
          <w:color w:val="231F20"/>
        </w:rPr>
        <w:t>kW</w:t>
      </w:r>
      <w:r>
        <w:rPr>
          <w:color w:val="231F20"/>
          <w:spacing w:val="-13"/>
        </w:rPr>
        <w:t> </w:t>
      </w:r>
      <w:r>
        <w:rPr>
          <w:color w:val="231F20"/>
        </w:rPr>
        <w:t>star-</w:t>
      </w:r>
      <w:r>
        <w:rPr>
          <w:color w:val="231F20"/>
        </w:rPr>
        <w:t> </w:t>
      </w:r>
      <w:r>
        <w:rPr>
          <w:color w:val="231F20"/>
          <w:spacing w:val="-3"/>
        </w:rPr>
        <w:t>ke</w:t>
      </w:r>
      <w:r>
        <w:rPr>
          <w:color w:val="231F20"/>
        </w:rPr>
        <w:t> PV-Anlage mit monokristallinen </w:t>
      </w:r>
      <w:r>
        <w:rPr>
          <w:color w:val="231F20"/>
          <w:spacing w:val="-1"/>
        </w:rPr>
        <w:t>Solarzel-</w:t>
      </w:r>
      <w:r>
        <w:rPr>
          <w:color w:val="231F20"/>
          <w:spacing w:val="28"/>
        </w:rPr>
        <w:t> </w:t>
      </w:r>
      <w:r>
        <w:rPr>
          <w:color w:val="231F20"/>
        </w:rPr>
        <w:t>len</w:t>
      </w:r>
      <w:r>
        <w:rPr>
          <w:color w:val="231F20"/>
          <w:spacing w:val="-4"/>
        </w:rPr>
        <w:t> </w:t>
      </w:r>
      <w:r>
        <w:rPr>
          <w:color w:val="231F20"/>
        </w:rPr>
        <w:t>fügt</w:t>
      </w:r>
      <w:r>
        <w:rPr>
          <w:color w:val="231F20"/>
          <w:spacing w:val="-4"/>
        </w:rPr>
        <w:t> </w:t>
      </w:r>
      <w:r>
        <w:rPr>
          <w:color w:val="231F20"/>
        </w:rPr>
        <w:t>sich</w:t>
      </w:r>
      <w:r>
        <w:rPr>
          <w:color w:val="231F20"/>
          <w:spacing w:val="-4"/>
        </w:rPr>
        <w:t> </w:t>
      </w:r>
      <w:r>
        <w:rPr>
          <w:color w:val="231F20"/>
        </w:rPr>
        <w:t>auf</w:t>
      </w:r>
      <w:r>
        <w:rPr>
          <w:color w:val="231F20"/>
          <w:spacing w:val="-4"/>
        </w:rPr>
        <w:t> </w:t>
      </w:r>
      <w:r>
        <w:rPr>
          <w:color w:val="231F20"/>
        </w:rPr>
        <w:t>den</w:t>
      </w:r>
      <w:r>
        <w:rPr>
          <w:color w:val="231F20"/>
          <w:spacing w:val="-4"/>
        </w:rPr>
        <w:t> </w:t>
      </w:r>
      <w:r>
        <w:rPr>
          <w:color w:val="231F20"/>
        </w:rPr>
        <w:t>flachen</w:t>
      </w:r>
      <w:r>
        <w:rPr>
          <w:color w:val="231F20"/>
          <w:spacing w:val="-4"/>
        </w:rPr>
        <w:t> </w:t>
      </w:r>
      <w:r>
        <w:rPr>
          <w:color w:val="231F20"/>
        </w:rPr>
        <w:t>Giebeldächern</w:t>
      </w:r>
      <w:r>
        <w:rPr>
          <w:color w:val="231F20"/>
        </w:rPr>
        <w:t> optimal</w:t>
      </w:r>
      <w:r>
        <w:rPr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</w:rPr>
        <w:t>Weinberge</w:t>
      </w:r>
      <w:r>
        <w:rPr>
          <w:color w:val="231F20"/>
          <w:spacing w:val="28"/>
        </w:rPr>
        <w:t> </w:t>
      </w:r>
      <w:r>
        <w:rPr>
          <w:color w:val="231F20"/>
        </w:rPr>
        <w:t>ein</w:t>
      </w:r>
      <w:r>
        <w:rPr>
          <w:color w:val="231F20"/>
          <w:spacing w:val="28"/>
        </w:rPr>
        <w:t> </w:t>
      </w:r>
      <w:r>
        <w:rPr>
          <w:color w:val="231F20"/>
        </w:rPr>
        <w:t>und</w:t>
      </w:r>
      <w:r>
        <w:rPr>
          <w:color w:val="231F20"/>
          <w:spacing w:val="27"/>
        </w:rPr>
        <w:t> </w:t>
      </w:r>
      <w:r>
        <w:rPr>
          <w:color w:val="231F20"/>
        </w:rPr>
        <w:t>erzeugt</w:t>
      </w:r>
      <w:r>
        <w:rPr>
          <w:color w:val="231F20"/>
        </w:rPr>
        <w:t> jährlich 66’100 kWh.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Dieses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Beispiel</w:t>
      </w:r>
      <w:r>
        <w:rPr>
          <w:color w:val="231F20"/>
          <w:spacing w:val="21"/>
        </w:rPr>
        <w:t> </w:t>
      </w:r>
      <w:r>
        <w:rPr>
          <w:color w:val="231F20"/>
        </w:rPr>
        <w:t>zeigt,</w:t>
      </w:r>
      <w:r>
        <w:rPr>
          <w:color w:val="231F20"/>
          <w:spacing w:val="21"/>
        </w:rPr>
        <w:t> </w:t>
      </w:r>
      <w:r>
        <w:rPr>
          <w:color w:val="231F20"/>
        </w:rPr>
        <w:t>wie</w:t>
      </w:r>
      <w:r>
        <w:rPr>
          <w:color w:val="231F20"/>
          <w:spacing w:val="21"/>
        </w:rPr>
        <w:t> </w:t>
      </w:r>
      <w:r>
        <w:rPr>
          <w:color w:val="231F20"/>
        </w:rPr>
        <w:t>grossflächige</w:t>
      </w:r>
      <w:r>
        <w:rPr>
          <w:color w:val="231F20"/>
          <w:spacing w:val="30"/>
        </w:rPr>
        <w:t> </w:t>
      </w:r>
      <w:r>
        <w:rPr>
          <w:color w:val="231F20"/>
        </w:rPr>
        <w:t>Solaranlagen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eine</w:t>
      </w:r>
      <w:r>
        <w:rPr>
          <w:color w:val="231F20"/>
          <w:spacing w:val="21"/>
        </w:rPr>
        <w:t> </w:t>
      </w:r>
      <w:r>
        <w:rPr>
          <w:color w:val="231F20"/>
        </w:rPr>
        <w:t>anspruchsvolle</w:t>
      </w:r>
      <w:r>
        <w:rPr>
          <w:color w:val="231F20"/>
          <w:spacing w:val="21"/>
        </w:rPr>
        <w:t> </w:t>
      </w:r>
      <w:r>
        <w:rPr>
          <w:color w:val="231F20"/>
        </w:rPr>
        <w:t>archi-</w:t>
      </w:r>
      <w:r>
        <w:rPr>
          <w:color w:val="231F20"/>
        </w:rPr>
        <w:t> tektonische</w:t>
      </w:r>
      <w:r>
        <w:rPr>
          <w:color w:val="231F20"/>
          <w:spacing w:val="-9"/>
        </w:rPr>
        <w:t> </w:t>
      </w:r>
      <w:r>
        <w:rPr>
          <w:color w:val="231F20"/>
        </w:rPr>
        <w:t>Gestaltung</w:t>
      </w:r>
      <w:r>
        <w:rPr>
          <w:color w:val="231F20"/>
          <w:spacing w:val="-9"/>
        </w:rPr>
        <w:t> </w:t>
      </w:r>
      <w:r>
        <w:rPr>
          <w:color w:val="231F20"/>
        </w:rPr>
        <w:t>integriert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den</w:t>
      </w:r>
      <w:r>
        <w:rPr>
          <w:color w:val="231F20"/>
        </w:rPr>
        <w:t> sensiblen</w:t>
      </w:r>
      <w:r>
        <w:rPr>
          <w:color w:val="231F20"/>
          <w:spacing w:val="27"/>
        </w:rPr>
        <w:t> </w:t>
      </w:r>
      <w:r>
        <w:rPr>
          <w:color w:val="231F20"/>
        </w:rPr>
        <w:t>Landschaftsraum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</w:rPr>
        <w:t>Fläscher</w:t>
      </w:r>
      <w:r>
        <w:rPr>
          <w:color w:val="231F20"/>
        </w:rPr>
        <w:t> Rebberge</w:t>
      </w:r>
      <w:r>
        <w:rPr>
          <w:color w:val="231F20"/>
          <w:spacing w:val="22"/>
        </w:rPr>
        <w:t> </w:t>
      </w:r>
      <w:r>
        <w:rPr>
          <w:color w:val="231F20"/>
        </w:rPr>
        <w:t>eingepasst</w:t>
      </w:r>
      <w:r>
        <w:rPr>
          <w:color w:val="231F20"/>
          <w:spacing w:val="22"/>
        </w:rPr>
        <w:t> </w:t>
      </w:r>
      <w:r>
        <w:rPr>
          <w:color w:val="231F20"/>
        </w:rPr>
        <w:t>werden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können.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Da-</w:t>
      </w:r>
      <w:r>
        <w:rPr>
          <w:color w:val="231F20"/>
          <w:spacing w:val="28"/>
        </w:rPr>
        <w:t> </w:t>
      </w:r>
      <w:r>
        <w:rPr>
          <w:color w:val="231F20"/>
        </w:rPr>
        <w:t>für</w:t>
      </w:r>
      <w:r>
        <w:rPr>
          <w:color w:val="231F20"/>
          <w:spacing w:val="-7"/>
        </w:rPr>
        <w:t> </w:t>
      </w:r>
      <w:r>
        <w:rPr>
          <w:color w:val="231F20"/>
        </w:rPr>
        <w:t>erhält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Weingut</w:t>
      </w:r>
      <w:r>
        <w:rPr>
          <w:color w:val="231F20"/>
          <w:spacing w:val="-7"/>
        </w:rPr>
        <w:t> </w:t>
      </w:r>
      <w:r>
        <w:rPr>
          <w:color w:val="231F20"/>
        </w:rPr>
        <w:t>Davaz</w:t>
      </w:r>
      <w:r>
        <w:rPr>
          <w:color w:val="231F20"/>
          <w:spacing w:val="-7"/>
        </w:rPr>
        <w:t> </w:t>
      </w:r>
      <w:r>
        <w:rPr>
          <w:color w:val="231F20"/>
        </w:rPr>
        <w:t>den</w:t>
      </w:r>
      <w:r>
        <w:rPr>
          <w:color w:val="231F20"/>
          <w:spacing w:val="-7"/>
        </w:rPr>
        <w:t> </w:t>
      </w:r>
      <w:r>
        <w:rPr>
          <w:color w:val="231F20"/>
        </w:rPr>
        <w:t>Schweizer</w:t>
      </w:r>
      <w:r>
        <w:rPr>
          <w:color w:val="231F20"/>
        </w:rPr>
        <w:t> Solarpreis 2015.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pied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majestueux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massif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Falknis,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domaine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viticole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Davaz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Fläsch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(GR)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récolte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raisin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soleil.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Depuis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décennie,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rénovés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étendus.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référence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passée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1’843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travaux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d’optimaliser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processus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opérationnels.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domaine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–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comprend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habitation,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remise,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vinothèque,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cuverie,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cellier,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barriques,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jardin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d’herbes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aromatiques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–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144’600 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énergétiques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diminué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25%,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passant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105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kWh/m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notamment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l’enveloppe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triple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vitrage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charge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base.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charge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pointe,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utilise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mazout,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chuté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L’approvisionnement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46%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besoins;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alimenter le bâtiment d’habitation, qui abrite 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générations.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Soigneusement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crête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seul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tenant,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cellules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monocristallines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faitement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vignes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66’100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exem-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manière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photovol-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taïque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grande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s’intègre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espace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architectural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exigeant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s’adapte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milieu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naturel,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vignes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Fläsch.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domaine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viticole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Davaz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Prix Solaire Suisse 2015.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3439" w:val="left" w:leader="none"/>
        </w:tabs>
        <w:spacing w:before="73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z w:val="14"/>
          <w:u w:val="dotted" w:color="231F20"/>
        </w:rPr>
        <w:t>Technische 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6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0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0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7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21" w:val="left" w:leader="none"/>
          <w:tab w:pos="190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16 cm</w:t>
        <w:tab/>
        <w:t>U-Wert: 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z w:val="14"/>
        </w:rPr>
        <w:t>0.20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19" w:val="left" w:leader="none"/>
          <w:tab w:pos="1909" w:val="left" w:leader="none"/>
        </w:tabs>
        <w:spacing w:line="207" w:lineRule="auto" w:before="5"/>
        <w:ind w:left="10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24 cm</w:t>
        <w:tab/>
        <w:t>U-Wert: 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z w:val="14"/>
        </w:rPr>
        <w:t>0.13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  <w:t>dreifach</w:t>
        <w:tab/>
        <w:t>U-Wert: 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z w:val="14"/>
        </w:rPr>
        <w:t>0.70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4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 vor Sanierung [100%]</w:t>
      </w:r>
      <w:r>
        <w:rPr>
          <w:rFonts w:ascii="Theinhardt Bold"/>
          <w:sz w:val="14"/>
        </w:rPr>
      </w:r>
    </w:p>
    <w:p>
      <w:pPr>
        <w:tabs>
          <w:tab w:pos="1528" w:val="left" w:leader="none"/>
          <w:tab w:pos="2418" w:val="left" w:leader="none"/>
          <w:tab w:pos="2830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1’000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714" w:val="left" w:leader="none"/>
          <w:tab w:pos="229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GesamtEB:</w:t>
        <w:tab/>
        <w:t>104.7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  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104’711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9"/>
          <w:szCs w:val="9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766"/>
        <w:gridCol w:w="425"/>
        <w:gridCol w:w="664"/>
      </w:tblGrid>
      <w:tr>
        <w:trPr>
          <w:trHeight w:val="253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5" w:lineRule="exact"/>
              <w:ind w:left="55" w:right="-627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Energiebedarf nach Sanierung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EBF: 1’843 m</w:t>
            </w:r>
            <w:r>
              <w:rPr>
                <w:rFonts w:ascii="Theinhardt Regular" w:hAnsi="Theinhardt Regular" w:cs="Theinhardt Regular" w:eastAsia="Theinhardt Regular"/>
                <w:color w:val="231F20"/>
                <w:position w:val="5"/>
                <w:sz w:val="8"/>
                <w:szCs w:val="8"/>
              </w:rPr>
              <w:t>2</w:t>
            </w:r>
            <w:r>
              <w:rPr>
                <w:rFonts w:ascii="Theinhardt Regular" w:hAnsi="Theinhardt Regular" w:cs="Theinhardt Regular" w:eastAsia="Theinhardt Regular"/>
                <w:sz w:val="8"/>
                <w:szCs w:val="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5" w:lineRule="exact"/>
              <w:ind w:right="-25"/>
              <w:jc w:val="righ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[1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68" w:lineRule="exact"/>
              <w:ind w:left="10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5" w:lineRule="exact"/>
              <w:ind w:right="22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38%]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68" w:lineRule="exact"/>
              <w:ind w:left="154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72"/>
              <w:ind w:left="21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7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75.7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97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7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139’597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Heizöl: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5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7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4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5’000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332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GesamtEB: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32" w:lineRule="exact" w:before="35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7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78.4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7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144’597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1241" w:val="left" w:leader="none"/>
          <w:tab w:pos="1714" w:val="left" w:leader="none"/>
          <w:tab w:pos="2381" w:val="left" w:leader="none"/>
          <w:tab w:pos="2418" w:val="left" w:leader="none"/>
          <w:tab w:pos="2771" w:val="left" w:leader="none"/>
          <w:tab w:pos="2830" w:val="left" w:leader="none"/>
        </w:tabs>
        <w:spacing w:line="160" w:lineRule="exact" w:before="36"/>
        <w:ind w:left="106" w:right="33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 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</w:t>
      </w:r>
      <w:r>
        <w:rPr>
          <w:rFonts w:ascii="Theinhardt Regular" w:hAnsi="Theinhardt Regular" w:cs="Theinhardt Regular" w:eastAsia="Theinhardt Regular"/>
          <w:color w:val="231F20"/>
          <w:spacing w:val="3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 Dach: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404</w:t>
        <w:tab/>
        <w:t>62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163.5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46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66’076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8" w:val="left" w:leader="none"/>
          <w:tab w:pos="2830" w:val="left" w:leader="none"/>
        </w:tabs>
        <w:spacing w:line="172" w:lineRule="exact" w:before="5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</w:t>
      </w:r>
      <w:r>
        <w:rPr>
          <w:rFonts w:ascii="Theinhardt Regular"/>
          <w:color w:val="231F20"/>
          <w:sz w:val="14"/>
        </w:rPr>
        <w:t>(Endenergie)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381" w:val="left" w:leader="none"/>
          <w:tab w:pos="2771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46</w:t>
        <w:tab/>
        <w:t>66’076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  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144’597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81" w:val="left" w:leader="none"/>
          <w:tab w:pos="277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Fremdenergiezufuhr: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[-25%]</w:t>
        <w:tab/>
        <w:t>54</w:t>
        <w:tab/>
        <w:t>78’521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43"/>
        <w:ind w:left="106" w:right="62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Repower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22.04.2015</w:t>
      </w:r>
      <w:r>
        <w:rPr>
          <w:rFonts w:ascii="Theinhardt Regular" w:hAnsi="Theinhardt Regular"/>
          <w:color w:val="231F20"/>
          <w:sz w:val="14"/>
        </w:rPr>
        <w:t> Theres Näf, Tel. 058 458 60 22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tabs>
          <w:tab w:pos="3438" w:val="left" w:leader="none"/>
        </w:tabs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pacing w:val="2"/>
          <w:sz w:val="14"/>
          <w:u w:val="dotted" w:color="231F20"/>
        </w:rPr>
        <w:t>Beteiligte</w:t>
      </w:r>
      <w:r>
        <w:rPr>
          <w:rFonts w:ascii="Theinhardt Black"/>
          <w:b/>
          <w:color w:val="231F20"/>
          <w:sz w:val="14"/>
          <w:u w:val="dotted" w:color="231F20"/>
        </w:rPr>
        <w:t> </w:t>
      </w:r>
      <w:r>
        <w:rPr>
          <w:rFonts w:ascii="Theinhardt Black"/>
          <w:b/>
          <w:color w:val="231F20"/>
          <w:spacing w:val="2"/>
          <w:sz w:val="14"/>
          <w:u w:val="dotted" w:color="231F20"/>
        </w:rPr>
        <w:t>Personen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Standort: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26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Andrea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Marianne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Davaz,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Weingut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Davaz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38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Porta Raetia 1, 7306 Fläsch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5">
        <w:r>
          <w:rPr>
            <w:rFonts w:ascii="Theinhardt Regular"/>
            <w:color w:val="231F20"/>
            <w:sz w:val="14"/>
          </w:rPr>
          <w:t>Tel. 081 302 17 10, info@davaz-wein.ch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Architektur: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67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atelier-f ag, Kurt Hauenstein, Kirchgass 1 7306 Fläsch, Tel. 081 330 12 92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z w:val="14"/>
          </w:rPr>
          <w:t>architektur@atelier-f.ch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Realisierung PV-Anlage: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RIVA Energie, Bahnhofstrasse 5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z w:val="14"/>
          </w:rPr>
          <w:t>8880 Walenstadt, info@riva-energie.ch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43"/>
        <w:ind w:left="106" w:right="36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Marquart Dächer Fassadenbau AG, Simon Marquart Gewerbestrasse 9, 8881 Tscherlach/SG</w:t>
      </w:r>
      <w:hyperlink r:id="rId8">
        <w:r>
          <w:rPr>
            <w:rFonts w:ascii="Theinhardt Regular" w:hAnsi="Theinhardt Regular"/>
            <w:color w:val="231F20"/>
            <w:sz w:val="14"/>
          </w:rPr>
          <w:t> contact@marquart-dach.ch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5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Haustechnikplanung HLKS: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24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Kalberer + Partner AG, M. Ackermann u. H. Pollnick Elestastrasse 16, 7310 Bad Ragaz</w:t>
      </w:r>
      <w:hyperlink r:id="rId9"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badragaz@kapa.ch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4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Energienachweis: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20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26.382236pt;width:167.25pt;height:.45pt;mso-position-horizontal-relative:page;mso-position-vertical-relative:paragraph;z-index:1120" coordorigin="7710,528" coordsize="3345,9">
            <v:group style="position:absolute;left:7732;top:532;width:3311;height:2" coordorigin="7732,532" coordsize="3311,2">
              <v:shape style="position:absolute;left:7732;top:532;width:3311;height:2" coordorigin="7732,532" coordsize="3311,0" path="m7732,532l11042,532e" filled="false" stroked="true" strokeweight=".425pt" strokecolor="#231f20">
                <v:path arrowok="t"/>
                <v:stroke dashstyle="dash"/>
              </v:shape>
            </v:group>
            <v:group style="position:absolute;left:7714;top:532;width:2;height:2" coordorigin="7714,532" coordsize="2,2">
              <v:shape style="position:absolute;left:7714;top:532;width:2;height:2" coordorigin="7714,532" coordsize="0,0" path="m7714,532l7714,532e" filled="false" stroked="true" strokeweight=".425pt" strokecolor="#231f20">
                <v:path arrowok="t"/>
              </v:shape>
            </v:group>
            <v:group style="position:absolute;left:11051;top:532;width:2;height:2" coordorigin="11051,532" coordsize="2,2">
              <v:shape style="position:absolute;left:11051;top:532;width:2;height:2" coordorigin="11051,532" coordsize="0,0" path="m11051,532l11051,532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Rv – Energietechnik AG, Heinz Zogg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Industriestrasse 12a, 7304 Maienfeld</w:t>
      </w:r>
      <w:hyperlink r:id="rId10">
        <w:r>
          <w:rPr>
            <w:rFonts w:ascii="Theinhardt Regular" w:hAnsi="Theinhardt Regular" w:cs="Theinhardt Regular" w:eastAsia="Theinhardt Regular"/>
            <w:color w:val="231F20"/>
            <w:sz w:val="14"/>
            <w:szCs w:val="14"/>
          </w:rPr>
          <w:t> info@rv-e.ch</w:t>
        </w:r>
        <w:r>
          <w:rPr>
            <w:rFonts w:ascii="Theinhardt Regular" w:hAnsi="Theinhardt Regular" w:cs="Theinhardt Regular" w:eastAsia="Theinhardt Regular"/>
            <w:sz w:val="14"/>
            <w:szCs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23"/>
          <w:szCs w:val="23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580982" cy="4239101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982" cy="42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15"/>
        <w:ind w:left="12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36046" cy="1210627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046" cy="121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2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3682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4"/>
          <w:sz w:val="20"/>
        </w:rPr>
        <w:drawing>
          <wp:inline distT="0" distB="0" distL="0" distR="0">
            <wp:extent cx="2102726" cy="210207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726" cy="210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4"/>
          <w:sz w:val="20"/>
        </w:rPr>
      </w:r>
      <w:r>
        <w:rPr>
          <w:rFonts w:ascii="Theinhardt Bold"/>
          <w:position w:val="4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4400619" cy="212750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61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3692" w:val="left" w:leader="none"/>
        </w:tabs>
        <w:spacing w:before="9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60" w:bottom="280" w:left="740" w:right="460"/>
        </w:sect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0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Seitenansicht des </w:t>
      </w:r>
      <w:r>
        <w:rPr>
          <w:rFonts w:ascii="Theinhardt Bold" w:hAnsi="Theinhardt Bold"/>
          <w:b/>
          <w:color w:val="231F20"/>
          <w:spacing w:val="-1"/>
          <w:sz w:val="14"/>
        </w:rPr>
        <w:t>Weinguts</w:t>
      </w:r>
      <w:r>
        <w:rPr>
          <w:rFonts w:ascii="Theinhardt Bold" w:hAnsi="Theinhardt Bold"/>
          <w:b/>
          <w:color w:val="231F20"/>
          <w:sz w:val="14"/>
        </w:rPr>
        <w:t> Davaz in Fläsch/GR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mit</w:t>
      </w:r>
      <w:r>
        <w:rPr>
          <w:rFonts w:ascii="Theinhardt Bold" w:hAnsi="Theinhardt Bold"/>
          <w:b/>
          <w:color w:val="231F20"/>
          <w:spacing w:val="-1"/>
          <w:sz w:val="14"/>
        </w:rPr>
        <w:t> der</w:t>
      </w:r>
      <w:r>
        <w:rPr>
          <w:rFonts w:ascii="Theinhardt Bold" w:hAnsi="Theinhardt Bold"/>
          <w:b/>
          <w:color w:val="231F20"/>
          <w:sz w:val="14"/>
        </w:rPr>
        <w:t> optimal ganzflächig,</w:t>
      </w:r>
      <w:r>
        <w:rPr>
          <w:rFonts w:ascii="Theinhardt Bold" w:hAnsi="Theinhardt Bold"/>
          <w:b/>
          <w:color w:val="231F20"/>
          <w:spacing w:val="-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seiten-,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trauf-</w:t>
      </w:r>
      <w:r>
        <w:rPr>
          <w:rFonts w:ascii="Theinhardt Bold" w:hAnsi="Theinhardt Bold"/>
          <w:b/>
          <w:color w:val="231F20"/>
          <w:sz w:val="14"/>
        </w:rPr>
        <w:t> und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fir</w:t>
      </w:r>
      <w:r>
        <w:rPr>
          <w:rFonts w:ascii="Theinhardt Bold" w:hAnsi="Theinhardt Bold"/>
          <w:b/>
          <w:color w:val="231F20"/>
          <w:spacing w:val="-1"/>
          <w:sz w:val="14"/>
        </w:rPr>
        <w:t>stbündig </w:t>
      </w:r>
      <w:r>
        <w:rPr>
          <w:rFonts w:ascii="Theinhardt Bold" w:hAnsi="Theinhardt Bold"/>
          <w:b/>
          <w:color w:val="231F20"/>
          <w:sz w:val="14"/>
        </w:rPr>
        <w:t>integrierten,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62 kW </w:t>
      </w:r>
      <w:r>
        <w:rPr>
          <w:rFonts w:ascii="Theinhardt Bold" w:hAnsi="Theinhardt Bold"/>
          <w:b/>
          <w:color w:val="231F20"/>
          <w:spacing w:val="-1"/>
          <w:sz w:val="14"/>
        </w:rPr>
        <w:t>starken PV-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Anlage.</w:t>
      </w:r>
      <w:r>
        <w:rPr>
          <w:rFonts w:ascii="Theinhardt Bold" w:hAnsi="Theinhardt Bold"/>
          <w:sz w:val="14"/>
        </w:rPr>
      </w: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15"/>
          <w:szCs w:val="15"/>
        </w:rPr>
      </w:pPr>
      <w:r>
        <w:rPr/>
        <w:br w:type="column"/>
      </w:r>
      <w:r>
        <w:rPr>
          <w:rFonts w:ascii="Theinhardt Bold"/>
          <w:b/>
          <w:sz w:val="15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0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vollflächig integrierten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PV-Anlagen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erzeugen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66’100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decken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46% des Gesamt-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energiebedarfs von 144’600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15"/>
          <w:szCs w:val="15"/>
        </w:rPr>
      </w:pPr>
      <w:r>
        <w:rPr/>
        <w:br w:type="column"/>
      </w:r>
      <w:r>
        <w:rPr>
          <w:rFonts w:ascii="Theinhardt Bold"/>
          <w:b/>
          <w:sz w:val="15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72" w:lineRule="exact" w:before="0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Weingut</w:t>
      </w:r>
      <w:r>
        <w:rPr>
          <w:rFonts w:ascii="Theinhardt Bold"/>
          <w:b/>
          <w:color w:val="231F20"/>
          <w:sz w:val="14"/>
        </w:rPr>
        <w:t> vor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Sanierung.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207" w:lineRule="auto" w:before="5"/>
        <w:ind w:left="347" w:right="286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Ansicht</w:t>
      </w:r>
      <w:r>
        <w:rPr>
          <w:rFonts w:ascii="Theinhardt Bold" w:hAnsi="Theinhardt Bold"/>
          <w:b/>
          <w:color w:val="231F20"/>
          <w:spacing w:val="-1"/>
          <w:sz w:val="14"/>
        </w:rPr>
        <w:t> der</w:t>
      </w:r>
      <w:r>
        <w:rPr>
          <w:rFonts w:ascii="Theinhardt Bold" w:hAnsi="Theinhardt Bold"/>
          <w:b/>
          <w:color w:val="231F20"/>
          <w:sz w:val="14"/>
        </w:rPr>
        <w:t> vollflächig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integrierten PV-Anlage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mit perfekten Seitenabschlüssen.</w:t>
      </w:r>
      <w:r>
        <w:rPr>
          <w:rFonts w:ascii="Theinhardt Bold" w:hAnsi="Theinhardt Bold"/>
          <w:sz w:val="14"/>
        </w:rPr>
      </w:r>
    </w:p>
    <w:p>
      <w:pPr>
        <w:spacing w:after="0" w:line="207" w:lineRule="auto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12" w:space="160"/>
            <w:col w:w="3464" w:space="108"/>
            <w:col w:w="3566"/>
          </w:cols>
        </w:sect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3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8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9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98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davaz-wein.ch" TargetMode="External"/><Relationship Id="rId6" Type="http://schemas.openxmlformats.org/officeDocument/2006/relationships/hyperlink" Target="mailto:architektur@atelier-f.ch" TargetMode="External"/><Relationship Id="rId7" Type="http://schemas.openxmlformats.org/officeDocument/2006/relationships/hyperlink" Target="mailto:info@riva-energie.ch" TargetMode="External"/><Relationship Id="rId8" Type="http://schemas.openxmlformats.org/officeDocument/2006/relationships/hyperlink" Target="mailto:contact@marquart-dach.ch" TargetMode="External"/><Relationship Id="rId9" Type="http://schemas.openxmlformats.org/officeDocument/2006/relationships/hyperlink" Target="mailto:badragaz@kapa.ch" TargetMode="External"/><Relationship Id="rId10" Type="http://schemas.openxmlformats.org/officeDocument/2006/relationships/hyperlink" Target="mailto:info@rv-e.ch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2015-09-02T12:09:01Z</dcterms:created>
  <dcterms:modified xsi:type="dcterms:W3CDTF">2015-09-02T12:09:01Z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