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tabs>
          <w:tab w:pos="2546" w:val="left" w:leader="none"/>
        </w:tabs>
        <w:spacing w:line="230" w:lineRule="exact"/>
        <w:ind w:right="0"/>
        <w:jc w:val="left"/>
        <w:rPr>
          <w:rFonts w:ascii="Theinhardt Heavy" w:hAnsi="Theinhardt Heavy" w:cs="Theinhardt Heavy" w:eastAsia="Theinhardt Heavy"/>
          <w:b w:val="0"/>
          <w:bCs w:val="0"/>
        </w:rPr>
      </w:pPr>
      <w:r>
        <w:rPr/>
        <w:pict>
          <v:group style="position:absolute;margin-left:28.559pt;margin-top:13.647182pt;width:.1pt;height:.1pt;mso-position-horizontal-relative:page;mso-position-vertical-relative:paragraph;z-index:-5080" coordorigin="571,273" coordsize="2,2">
            <v:shape style="position:absolute;left:571;top:273;width:2;height:2" coordorigin="571,273" coordsize="0,0" path="m571,273l571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0.731995pt;margin-top:13.647182pt;width:.1pt;height:.1pt;mso-position-horizontal-relative:page;mso-position-vertical-relative:paragraph;z-index:1264" coordorigin="3015,273" coordsize="2,2">
            <v:shape style="position:absolute;left:3015;top:273;width:2;height:2" coordorigin="3015,273" coordsize="0,0" path="m3015,273l3015,27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/>
          <w:b/>
          <w:color w:val="231F20"/>
        </w:rPr>
      </w:r>
      <w:r>
        <w:rPr>
          <w:rFonts w:ascii="Theinhardt Heavy"/>
          <w:b/>
          <w:color w:val="231F20"/>
          <w:u w:val="dotted" w:color="231F20"/>
        </w:rPr>
        <w:t>Kategorie A</w:t>
      </w:r>
      <w:r>
        <w:rPr>
          <w:rFonts w:ascii="Theinhardt Heavy"/>
          <w:b/>
          <w:color w:val="231F20"/>
          <w:u w:val="dotted" w:color="231F20"/>
        </w:rPr>
        <w:t> </w:t>
        <w:tab/>
      </w:r>
      <w:r>
        <w:rPr>
          <w:rFonts w:ascii="Theinhardt Heavy"/>
          <w:b/>
          <w:color w:val="231F20"/>
        </w:rPr>
      </w:r>
      <w:r>
        <w:rPr>
          <w:rFonts w:ascii="Theinhardt Heavy"/>
          <w:b/>
          <w:color w:val="231F20"/>
        </w:rPr>
        <w:t> Institutionen</w:t>
      </w:r>
      <w:r>
        <w:rPr>
          <w:rFonts w:ascii="Theinhardt Heavy"/>
          <w:b w:val="0"/>
        </w:rPr>
      </w:r>
    </w:p>
    <w:p>
      <w:pPr>
        <w:spacing w:line="20" w:lineRule="atLeast"/>
        <w:ind w:left="106" w:right="0" w:firstLine="0"/>
        <w:rPr>
          <w:rFonts w:ascii="Theinhardt Heavy" w:hAnsi="Theinhardt Heavy" w:cs="Theinhardt Heavy" w:eastAsia="Theinhardt Heavy"/>
          <w:sz w:val="2"/>
          <w:szCs w:val="2"/>
        </w:rPr>
      </w:pPr>
      <w:r>
        <w:rPr>
          <w:rFonts w:ascii="Theinhardt Heavy" w:hAnsi="Theinhardt Heavy" w:cs="Theinhardt Heavy" w:eastAsia="Theinhardt Heavy"/>
          <w:sz w:val="2"/>
          <w:szCs w:val="2"/>
        </w:rPr>
        <w:pict>
          <v:group style="width:122.6pt;height:.45pt;mso-position-horizontal-relative:char;mso-position-vertical-relative:line" coordorigin="0,0" coordsize="2452,9">
            <v:group style="position:absolute;left:21;top:4;width:2418;height:2" coordorigin="21,4" coordsize="2418,2">
              <v:shape style="position:absolute;left:21;top:4;width:2418;height:2" coordorigin="21,4" coordsize="2418,0" path="m21,4l2439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2448;top:4;width:2;height:2" coordorigin="2448,4" coordsize="2,2">
              <v:shape style="position:absolute;left:2448;top:4;width:2;height:2" coordorigin="2448,4" coordsize="0,0" path="m2448,4l2448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Heavy" w:hAnsi="Theinhardt Heavy" w:cs="Theinhardt Heavy" w:eastAsia="Theinhardt Heavy"/>
          <w:sz w:val="2"/>
          <w:szCs w:val="2"/>
        </w:rPr>
      </w:r>
    </w:p>
    <w:p>
      <w:pPr>
        <w:pStyle w:val="Heading2"/>
        <w:spacing w:line="240" w:lineRule="auto"/>
        <w:ind w:right="0"/>
        <w:jc w:val="left"/>
      </w:pPr>
      <w:r>
        <w:rPr>
          <w:color w:val="231F20"/>
          <w:spacing w:val="-1"/>
        </w:rPr>
        <w:t>Schweizer</w:t>
      </w:r>
      <w:r>
        <w:rPr>
          <w:color w:val="231F20"/>
        </w:rPr>
        <w:t> </w:t>
      </w:r>
      <w:r>
        <w:rPr>
          <w:color w:val="231F20"/>
          <w:spacing w:val="-1"/>
        </w:rPr>
        <w:t>Solarpreis</w:t>
      </w:r>
      <w:r>
        <w:rPr>
          <w:color w:val="231F20"/>
        </w:rPr>
        <w:t> 2017</w:t>
      </w:r>
      <w:r>
        <w:rPr/>
      </w:r>
    </w:p>
    <w:p>
      <w:pPr>
        <w:spacing w:line="230" w:lineRule="exact" w:before="28"/>
        <w:ind w:left="106" w:right="102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Seit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seiner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Gründung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im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Jahr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2010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fördert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Sahay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Verein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Schweiz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Photovoltaiktech-</w:t>
      </w:r>
      <w:r>
        <w:rPr>
          <w:rFonts w:ascii="Theinhardt Bold" w:hAnsi="Theinhardt Bold" w:cs="Theinhardt Bold" w:eastAsia="Theinhardt Bold"/>
          <w:b/>
          <w:bCs/>
          <w:color w:val="231F20"/>
          <w:spacing w:val="5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nik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Äthiopien.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gemeinnützige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Verein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unterstützt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Ausbildung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Lehrpersonen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5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Studierenden und sorgt für die Installation von Solaranlagen für Schulen und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Krankenstationen.</w:t>
      </w:r>
      <w:r>
        <w:rPr>
          <w:rFonts w:ascii="Theinhardt Bold" w:hAnsi="Theinhardt Bold" w:cs="Theinhardt Bold" w:eastAsia="Theinhardt Bold"/>
          <w:b/>
          <w:bCs/>
          <w:color w:val="231F20"/>
          <w:spacing w:val="6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Dabei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arbeitet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Technischen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Universität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Arba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Minch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(AMU)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Äthiopien,</w:t>
      </w:r>
      <w:r>
        <w:rPr>
          <w:rFonts w:ascii="Theinhardt Bold" w:hAnsi="Theinhardt Bold" w:cs="Theinhardt Bold" w:eastAsia="Theinhardt Bold"/>
          <w:b/>
          <w:bCs/>
          <w:color w:val="231F20"/>
          <w:spacing w:val="-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1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Tessiner</w:t>
      </w:r>
      <w:r>
        <w:rPr>
          <w:rFonts w:ascii="Theinhardt Bold" w:hAnsi="Theinhardt Bold" w:cs="Theinhardt Bold" w:eastAsia="Theinhardt Bold"/>
          <w:b/>
          <w:bCs/>
          <w:color w:val="231F20"/>
          <w:spacing w:val="5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Fachhochschule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(SUPSI)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Hochschule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Luzern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(HSLU)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zusammen.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Bisher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konnten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u.a.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15</w:t>
      </w:r>
      <w:r>
        <w:rPr>
          <w:rFonts w:ascii="Theinhardt Bold" w:hAnsi="Theinhardt Bold" w:cs="Theinhardt Bold" w:eastAsia="Theinhardt Bold"/>
          <w:b/>
          <w:bCs/>
          <w:color w:val="231F20"/>
          <w:spacing w:val="5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Krankenstationen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für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Einzugsgebiet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350’000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Einwohner/innen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Solarstorm</w:t>
      </w:r>
      <w:r>
        <w:rPr>
          <w:rFonts w:ascii="Theinhardt Bold" w:hAnsi="Theinhardt Bold" w:cs="Theinhardt Bold" w:eastAsia="Theinhardt Bold"/>
          <w:b/>
          <w:bCs/>
          <w:color w:val="231F20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ausgestat-</w:t>
      </w:r>
      <w:r>
        <w:rPr>
          <w:rFonts w:ascii="Theinhardt Bold" w:hAnsi="Theinhardt Bold" w:cs="Theinhardt Bold" w:eastAsia="Theinhardt Bold"/>
          <w:b/>
          <w:bCs/>
          <w:color w:val="231F20"/>
          <w:spacing w:val="5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tet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englischsprachige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Lehrmittel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«Advanced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Solar-Training»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erarbeitet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werden.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47" w:space="132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2"/>
          <w:sz w:val="40"/>
        </w:rPr>
        <w:t>Sahay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z w:val="40"/>
        </w:rPr>
        <w:t>Solar</w:t>
      </w:r>
      <w:r>
        <w:rPr>
          <w:rFonts w:ascii="Theinhardt Black"/>
          <w:b/>
          <w:color w:val="0067B1"/>
          <w:spacing w:val="-32"/>
          <w:sz w:val="40"/>
        </w:rPr>
        <w:t> </w:t>
      </w:r>
      <w:r>
        <w:rPr>
          <w:rFonts w:ascii="Theinhardt Black"/>
          <w:b/>
          <w:color w:val="0067B1"/>
          <w:spacing w:val="-2"/>
          <w:sz w:val="40"/>
        </w:rPr>
        <w:t>Verein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-2"/>
          <w:sz w:val="40"/>
        </w:rPr>
        <w:t>Schweiz,</w:t>
      </w:r>
      <w:r>
        <w:rPr>
          <w:rFonts w:ascii="Theinhardt Black"/>
          <w:b/>
          <w:color w:val="0067B1"/>
          <w:spacing w:val="-32"/>
          <w:sz w:val="40"/>
        </w:rPr>
        <w:t> </w:t>
      </w:r>
      <w:r>
        <w:rPr>
          <w:rFonts w:ascii="Theinhardt Black"/>
          <w:b/>
          <w:color w:val="0067B1"/>
          <w:spacing w:val="-3"/>
          <w:sz w:val="40"/>
        </w:rPr>
        <w:t>4054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3"/>
          <w:sz w:val="40"/>
        </w:rPr>
        <w:t>Basel/BS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Heading2"/>
        <w:spacing w:line="230" w:lineRule="exact" w:before="52"/>
        <w:ind w:right="8"/>
        <w:jc w:val="both"/>
      </w:pPr>
      <w:r>
        <w:rPr>
          <w:color w:val="231F20"/>
        </w:rPr>
        <w:t>Der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Verein</w:t>
      </w:r>
      <w:r>
        <w:rPr>
          <w:color w:val="231F20"/>
          <w:spacing w:val="-11"/>
        </w:rPr>
        <w:t> </w:t>
      </w:r>
      <w:r>
        <w:rPr>
          <w:color w:val="231F20"/>
        </w:rPr>
        <w:t>Sahay</w:t>
      </w:r>
      <w:r>
        <w:rPr>
          <w:color w:val="231F20"/>
          <w:spacing w:val="-11"/>
        </w:rPr>
        <w:t> </w:t>
      </w:r>
      <w:r>
        <w:rPr>
          <w:color w:val="231F20"/>
        </w:rPr>
        <w:t>Solar</w:t>
      </w:r>
      <w:r>
        <w:rPr>
          <w:color w:val="231F20"/>
          <w:spacing w:val="-12"/>
        </w:rPr>
        <w:t> </w:t>
      </w:r>
      <w:r>
        <w:rPr>
          <w:color w:val="231F20"/>
        </w:rPr>
        <w:t>aus</w:t>
      </w:r>
      <w:r>
        <w:rPr>
          <w:color w:val="231F20"/>
          <w:spacing w:val="-11"/>
        </w:rPr>
        <w:t> </w:t>
      </w:r>
      <w:r>
        <w:rPr>
          <w:color w:val="231F20"/>
        </w:rPr>
        <w:t>Basel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fördert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seit</w:t>
      </w:r>
      <w:r>
        <w:rPr>
          <w:color w:val="231F20"/>
          <w:spacing w:val="29"/>
        </w:rPr>
        <w:t> </w:t>
      </w:r>
      <w:r>
        <w:rPr>
          <w:color w:val="231F20"/>
        </w:rPr>
        <w:t>sieben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Jahren</w:t>
      </w:r>
      <w:r>
        <w:rPr>
          <w:color w:val="231F20"/>
          <w:spacing w:val="7"/>
        </w:rPr>
        <w:t> </w:t>
      </w:r>
      <w:r>
        <w:rPr>
          <w:color w:val="231F20"/>
        </w:rPr>
        <w:t>die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Photovoltaik-Technik</w:t>
      </w:r>
      <w:r>
        <w:rPr>
          <w:color w:val="231F20"/>
          <w:spacing w:val="7"/>
        </w:rPr>
        <w:t> </w:t>
      </w:r>
      <w:r>
        <w:rPr>
          <w:color w:val="231F20"/>
        </w:rPr>
        <w:t>und</w:t>
      </w:r>
      <w:r>
        <w:rPr>
          <w:color w:val="231F20"/>
          <w:spacing w:val="28"/>
        </w:rPr>
        <w:t> </w:t>
      </w:r>
      <w:r>
        <w:rPr>
          <w:color w:val="231F20"/>
        </w:rPr>
        <w:t>die</w:t>
      </w:r>
      <w:r>
        <w:rPr>
          <w:color w:val="231F20"/>
          <w:spacing w:val="-8"/>
        </w:rPr>
        <w:t> </w:t>
      </w:r>
      <w:r>
        <w:rPr>
          <w:color w:val="231F20"/>
        </w:rPr>
        <w:t>Ausbildung</w:t>
      </w:r>
      <w:r>
        <w:rPr>
          <w:color w:val="231F20"/>
          <w:spacing w:val="-8"/>
        </w:rPr>
        <w:t> </w:t>
      </w:r>
      <w:r>
        <w:rPr>
          <w:color w:val="231F20"/>
        </w:rPr>
        <w:t>von</w:t>
      </w:r>
      <w:r>
        <w:rPr>
          <w:color w:val="231F20"/>
          <w:spacing w:val="-8"/>
        </w:rPr>
        <w:t> </w:t>
      </w:r>
      <w:r>
        <w:rPr>
          <w:color w:val="231F20"/>
        </w:rPr>
        <w:t>Solarfachkräften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Äthi-</w:t>
      </w:r>
      <w:r>
        <w:rPr>
          <w:color w:val="231F20"/>
          <w:spacing w:val="21"/>
        </w:rPr>
        <w:t> </w:t>
      </w:r>
      <w:r>
        <w:rPr>
          <w:color w:val="231F20"/>
        </w:rPr>
        <w:t>opien.</w:t>
      </w:r>
      <w:r>
        <w:rPr>
          <w:color w:val="231F20"/>
          <w:spacing w:val="26"/>
        </w:rPr>
        <w:t> </w:t>
      </w:r>
      <w:r>
        <w:rPr>
          <w:color w:val="231F20"/>
        </w:rPr>
        <w:t>Dazu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erarbeitete</w:t>
      </w:r>
      <w:r>
        <w:rPr>
          <w:color w:val="231F20"/>
          <w:spacing w:val="37"/>
        </w:rPr>
        <w:t> </w:t>
      </w:r>
      <w:r>
        <w:rPr>
          <w:color w:val="231F20"/>
        </w:rPr>
        <w:t>er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zusammen</w:t>
      </w:r>
      <w:r>
        <w:rPr>
          <w:color w:val="231F20"/>
          <w:spacing w:val="38"/>
        </w:rPr>
        <w:t> </w:t>
      </w:r>
      <w:r>
        <w:rPr>
          <w:color w:val="231F20"/>
        </w:rPr>
        <w:t>mit</w:t>
      </w:r>
      <w:r>
        <w:rPr>
          <w:color w:val="231F20"/>
          <w:spacing w:val="38"/>
        </w:rPr>
        <w:t> </w:t>
      </w:r>
      <w:r>
        <w:rPr>
          <w:color w:val="231F20"/>
        </w:rPr>
        <w:t>der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Technischen </w:t>
      </w:r>
      <w:r>
        <w:rPr>
          <w:color w:val="231F20"/>
        </w:rPr>
        <w:t>Universität</w:t>
      </w:r>
      <w:r>
        <w:rPr>
          <w:color w:val="231F20"/>
          <w:spacing w:val="-2"/>
        </w:rPr>
        <w:t> </w:t>
      </w:r>
      <w:r>
        <w:rPr>
          <w:color w:val="231F20"/>
        </w:rPr>
        <w:t>von</w:t>
      </w:r>
      <w:r>
        <w:rPr>
          <w:color w:val="231F20"/>
          <w:spacing w:val="-2"/>
        </w:rPr>
        <w:t> </w:t>
      </w:r>
      <w:r>
        <w:rPr>
          <w:color w:val="231F20"/>
        </w:rPr>
        <w:t>Arba</w:t>
      </w:r>
      <w:r>
        <w:rPr>
          <w:color w:val="231F20"/>
          <w:spacing w:val="-2"/>
        </w:rPr>
        <w:t> </w:t>
      </w:r>
      <w:r>
        <w:rPr>
          <w:color w:val="231F20"/>
        </w:rPr>
        <w:t>Minch</w:t>
      </w:r>
      <w:r>
        <w:rPr>
          <w:color w:val="231F20"/>
          <w:spacing w:val="24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Äthiopien,</w:t>
      </w:r>
      <w:r>
        <w:rPr>
          <w:color w:val="231F20"/>
          <w:spacing w:val="-9"/>
        </w:rPr>
        <w:t> </w:t>
      </w:r>
      <w:r>
        <w:rPr>
          <w:color w:val="231F20"/>
        </w:rPr>
        <w:t>der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Fachhochschule</w:t>
      </w:r>
      <w:r>
        <w:rPr>
          <w:color w:val="231F20"/>
          <w:spacing w:val="2"/>
        </w:rPr>
        <w:t> </w:t>
      </w:r>
      <w:r>
        <w:rPr>
          <w:color w:val="231F20"/>
        </w:rPr>
        <w:t>der</w:t>
      </w:r>
      <w:r>
        <w:rPr>
          <w:color w:val="231F20"/>
          <w:spacing w:val="2"/>
        </w:rPr>
        <w:t> </w:t>
      </w:r>
      <w:r>
        <w:rPr>
          <w:color w:val="231F20"/>
        </w:rPr>
        <w:t>italie-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nischen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Schweiz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(SUPSI)</w:t>
      </w:r>
      <w:r>
        <w:rPr>
          <w:color w:val="231F20"/>
          <w:spacing w:val="7"/>
        </w:rPr>
        <w:t> </w:t>
      </w:r>
      <w:r>
        <w:rPr>
          <w:color w:val="231F20"/>
        </w:rPr>
        <w:t>und</w:t>
      </w:r>
      <w:r>
        <w:rPr>
          <w:color w:val="231F20"/>
          <w:spacing w:val="6"/>
        </w:rPr>
        <w:t> </w:t>
      </w:r>
      <w:r>
        <w:rPr>
          <w:color w:val="231F20"/>
        </w:rPr>
        <w:t>der</w:t>
      </w:r>
      <w:r>
        <w:rPr>
          <w:color w:val="231F20"/>
          <w:spacing w:val="7"/>
        </w:rPr>
        <w:t> </w:t>
      </w:r>
      <w:r>
        <w:rPr>
          <w:color w:val="231F20"/>
        </w:rPr>
        <w:t>Hoch-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schule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Luzern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(HSLU)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PV-Schulungspro-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gramme.</w:t>
      </w:r>
      <w:r>
        <w:rPr>
          <w:color w:val="231F20"/>
          <w:spacing w:val="19"/>
        </w:rPr>
        <w:t> </w:t>
      </w:r>
      <w:r>
        <w:rPr>
          <w:color w:val="231F20"/>
        </w:rPr>
        <w:t>Bisher</w:t>
      </w:r>
      <w:r>
        <w:rPr>
          <w:color w:val="231F20"/>
          <w:spacing w:val="29"/>
        </w:rPr>
        <w:t> </w:t>
      </w:r>
      <w:r>
        <w:rPr>
          <w:color w:val="231F20"/>
        </w:rPr>
        <w:t>besuchten</w:t>
      </w:r>
      <w:r>
        <w:rPr>
          <w:color w:val="231F20"/>
          <w:spacing w:val="30"/>
        </w:rPr>
        <w:t> </w:t>
      </w:r>
      <w:r>
        <w:rPr>
          <w:color w:val="231F20"/>
        </w:rPr>
        <w:t>über</w:t>
      </w:r>
      <w:r>
        <w:rPr>
          <w:color w:val="231F20"/>
          <w:spacing w:val="29"/>
        </w:rPr>
        <w:t> </w:t>
      </w:r>
      <w:r>
        <w:rPr>
          <w:color w:val="231F20"/>
        </w:rPr>
        <w:t>400</w:t>
      </w:r>
      <w:r>
        <w:rPr>
          <w:color w:val="231F20"/>
          <w:spacing w:val="24"/>
        </w:rPr>
        <w:t> </w:t>
      </w:r>
      <w:r>
        <w:rPr>
          <w:color w:val="231F20"/>
        </w:rPr>
        <w:t>Bachelor-</w:t>
      </w:r>
      <w:r>
        <w:rPr>
          <w:color w:val="231F20"/>
          <w:spacing w:val="26"/>
        </w:rPr>
        <w:t> </w:t>
      </w:r>
      <w:r>
        <w:rPr>
          <w:color w:val="231F20"/>
        </w:rPr>
        <w:t>und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Masterstudent/innen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sowie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Lehrpersonen</w:t>
      </w:r>
      <w:r>
        <w:rPr>
          <w:color w:val="231F20"/>
          <w:spacing w:val="1"/>
        </w:rPr>
        <w:t> </w:t>
      </w:r>
      <w:r>
        <w:rPr>
          <w:color w:val="231F20"/>
        </w:rPr>
        <w:t>aus</w:t>
      </w:r>
      <w:r>
        <w:rPr>
          <w:color w:val="231F20"/>
          <w:spacing w:val="1"/>
        </w:rPr>
        <w:t> </w:t>
      </w:r>
      <w:r>
        <w:rPr>
          <w:color w:val="231F20"/>
        </w:rPr>
        <w:t>ganz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Äthiopien</w:t>
      </w:r>
      <w:r>
        <w:rPr>
          <w:color w:val="231F20"/>
          <w:spacing w:val="1"/>
        </w:rPr>
        <w:t> </w:t>
      </w:r>
      <w:r>
        <w:rPr>
          <w:color w:val="231F20"/>
        </w:rPr>
        <w:t>Basiskur-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se</w:t>
      </w:r>
      <w:r>
        <w:rPr>
          <w:color w:val="231F20"/>
        </w:rPr>
        <w:t> in Photovoltaik.</w:t>
      </w:r>
      <w:r>
        <w:rPr/>
      </w:r>
    </w:p>
    <w:p>
      <w:pPr>
        <w:spacing w:line="230" w:lineRule="exact" w:before="0"/>
        <w:ind w:left="106" w:right="0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Das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Programm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«Licht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Solarstrom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für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50</w:t>
      </w:r>
      <w:r>
        <w:rPr>
          <w:rFonts w:ascii="Theinhardt Regular" w:hAnsi="Theinhardt Regular" w:cs="Theinhardt Regular" w:eastAsia="Theinhardt Regular"/>
          <w:color w:val="231F20"/>
          <w:spacing w:val="-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Rural</w:t>
      </w:r>
      <w:r>
        <w:rPr>
          <w:rFonts w:ascii="Theinhardt Regular" w:hAnsi="Theinhardt Regular" w:cs="Theinhardt Regular" w:eastAsia="Theinhardt Regular"/>
          <w:color w:val="231F20"/>
          <w:spacing w:val="-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Health</w:t>
      </w:r>
      <w:r>
        <w:rPr>
          <w:rFonts w:ascii="Theinhardt Regular" w:hAnsi="Theinhardt Regular" w:cs="Theinhardt Regular" w:eastAsia="Theinhardt Regular"/>
          <w:color w:val="231F20"/>
          <w:spacing w:val="-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Centers»</w:t>
      </w:r>
      <w:r>
        <w:rPr>
          <w:rFonts w:ascii="Theinhardt Regular" w:hAnsi="Theinhardt Regular" w:cs="Theinhardt Regular" w:eastAsia="Theinhardt Regular"/>
          <w:color w:val="231F20"/>
          <w:spacing w:val="-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sieht</w:t>
      </w:r>
      <w:r>
        <w:rPr>
          <w:rFonts w:ascii="Theinhardt Regular" w:hAnsi="Theinhardt Regular" w:cs="Theinhardt Regular" w:eastAsia="Theinhardt Regular"/>
          <w:color w:val="231F20"/>
          <w:spacing w:val="-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4"/>
          <w:sz w:val="18"/>
          <w:szCs w:val="18"/>
        </w:rPr>
        <w:t>vor,</w:t>
      </w:r>
      <w:r>
        <w:rPr>
          <w:rFonts w:ascii="Theinhardt Regular" w:hAnsi="Theinhardt Regular" w:cs="Theinhardt Regular" w:eastAsia="Theinhardt Regular"/>
          <w:color w:val="231F20"/>
          <w:spacing w:val="-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50</w:t>
      </w:r>
      <w:r>
        <w:rPr>
          <w:rFonts w:ascii="Theinhardt Regular" w:hAnsi="Theinhardt Regular" w:cs="Theinhardt Regular" w:eastAsia="Theinhardt Regular"/>
          <w:color w:val="231F20"/>
          <w:spacing w:val="-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Kran-</w:t>
      </w:r>
      <w:r>
        <w:rPr>
          <w:rFonts w:ascii="Theinhardt Regular" w:hAnsi="Theinhardt Regular" w:cs="Theinhardt Regular" w:eastAsia="Theinhardt Regular"/>
          <w:color w:val="231F20"/>
          <w:spacing w:val="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kenstationen</w:t>
      </w:r>
      <w:r>
        <w:rPr>
          <w:rFonts w:ascii="Theinhardt Regular" w:hAnsi="Theinhardt Regular" w:cs="Theinhardt Regular" w:eastAsia="Theinhardt Regular"/>
          <w:color w:val="231F20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in</w:t>
      </w:r>
      <w:r>
        <w:rPr>
          <w:rFonts w:ascii="Theinhardt Regular" w:hAnsi="Theinhardt Regular" w:cs="Theinhardt Regular" w:eastAsia="Theinhardt Regular"/>
          <w:color w:val="231F20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231F20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Gamo</w:t>
      </w:r>
      <w:r>
        <w:rPr>
          <w:rFonts w:ascii="Theinhardt Regular" w:hAnsi="Theinhardt Regular" w:cs="Theinhardt Regular" w:eastAsia="Theinhardt Regular"/>
          <w:color w:val="231F20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Gofa</w:t>
      </w:r>
      <w:r>
        <w:rPr>
          <w:rFonts w:ascii="Theinhardt Regular" w:hAnsi="Theinhardt Regular" w:cs="Theinhardt Regular" w:eastAsia="Theinhardt Regular"/>
          <w:color w:val="231F20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Zone</w:t>
      </w:r>
      <w:r>
        <w:rPr>
          <w:rFonts w:ascii="Theinhardt Regular" w:hAnsi="Theinhardt Regular" w:cs="Theinhardt Regular" w:eastAsia="Theinhardt Regular"/>
          <w:color w:val="231F20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in</w:t>
      </w:r>
      <w:r>
        <w:rPr>
          <w:rFonts w:ascii="Theinhardt Regular" w:hAnsi="Theinhardt Regular" w:cs="Theinhardt Regular" w:eastAsia="Theinhardt Regular"/>
          <w:color w:val="231F20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Süd-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äthiopien</w:t>
      </w:r>
      <w:r>
        <w:rPr>
          <w:rFonts w:ascii="Theinhardt Regular" w:hAnsi="Theinhardt Regular" w:cs="Theinhardt Regular" w:eastAsia="Theinhardt Regular"/>
          <w:color w:val="231F20"/>
          <w:spacing w:val="4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mit</w:t>
      </w:r>
      <w:r>
        <w:rPr>
          <w:rFonts w:ascii="Theinhardt Regular" w:hAnsi="Theinhardt Regular" w:cs="Theinhardt Regular" w:eastAsia="Theinhardt Regular"/>
          <w:color w:val="231F20"/>
          <w:spacing w:val="4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Solaranlagen</w:t>
      </w:r>
      <w:r>
        <w:rPr>
          <w:rFonts w:ascii="Theinhardt Regular" w:hAnsi="Theinhardt Regular" w:cs="Theinhardt Regular" w:eastAsia="Theinhardt Regular"/>
          <w:color w:val="231F20"/>
          <w:spacing w:val="4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auszurüsten.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Bisher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wurden</w:t>
      </w:r>
      <w:r>
        <w:rPr>
          <w:rFonts w:ascii="Theinhardt Regular" w:hAnsi="Theinhardt Regular" w:cs="Theinhardt Regular" w:eastAsia="Theinhardt Regular"/>
          <w:color w:val="231F20"/>
          <w:spacing w:val="3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15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Krankenstationen</w:t>
      </w:r>
      <w:r>
        <w:rPr>
          <w:rFonts w:ascii="Theinhardt Regular" w:hAnsi="Theinhardt Regular" w:cs="Theinhardt Regular" w:eastAsia="Theinhardt Regular"/>
          <w:color w:val="231F20"/>
          <w:spacing w:val="3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für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über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350’000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Bewohner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mit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Licht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Strom</w:t>
      </w:r>
      <w:r>
        <w:rPr>
          <w:rFonts w:ascii="Theinhardt Regular" w:hAnsi="Theinhardt Regular" w:cs="Theinhardt Regular" w:eastAsia="Theinhardt Regular"/>
          <w:color w:val="231F20"/>
          <w:spacing w:val="-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versorgt.</w:t>
      </w:r>
      <w:r>
        <w:rPr>
          <w:rFonts w:ascii="Theinhardt Regular" w:hAnsi="Theinhardt Regular" w:cs="Theinhardt Regular" w:eastAsia="Theinhardt Regular"/>
          <w:color w:val="231F20"/>
          <w:spacing w:val="-1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Das</w:t>
      </w:r>
      <w:r>
        <w:rPr>
          <w:rFonts w:ascii="Theinhardt Regular" w:hAnsi="Theinhardt Regular" w:cs="Theinhardt Regular" w:eastAsia="Theinhardt Regular"/>
          <w:color w:val="231F20"/>
          <w:spacing w:val="-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Sahay-Team</w:t>
      </w:r>
      <w:r>
        <w:rPr>
          <w:rFonts w:ascii="Theinhardt Regular" w:hAnsi="Theinhardt Regular" w:cs="Theinhardt Regular" w:eastAsia="Theinhardt Regular"/>
          <w:color w:val="231F20"/>
          <w:spacing w:val="-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231F20"/>
          <w:spacing w:val="-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8"/>
          <w:szCs w:val="18"/>
        </w:rPr>
        <w:t>Techni-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schen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Universität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von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Arba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Minch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kontrol-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liert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3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installierten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Anlagen</w:t>
      </w:r>
      <w:r>
        <w:rPr>
          <w:rFonts w:ascii="Theinhardt Regular" w:hAnsi="Theinhardt Regular" w:cs="Theinhardt Regular" w:eastAsia="Theinhardt Regular"/>
          <w:color w:val="231F20"/>
          <w:spacing w:val="3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jährlich.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Ein</w:t>
      </w:r>
      <w:r>
        <w:rPr>
          <w:rFonts w:ascii="Theinhardt Regular" w:hAnsi="Theinhardt Regular" w:cs="Theinhardt Regular" w:eastAsia="Theinhardt Regular"/>
          <w:color w:val="231F20"/>
          <w:spacing w:val="3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von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231F20"/>
          <w:spacing w:val="3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Regierung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finanzierter</w:t>
      </w:r>
      <w:r>
        <w:rPr>
          <w:rFonts w:ascii="Theinhardt Regular" w:hAnsi="Theinhardt Regular" w:cs="Theinhardt Regular" w:eastAsia="Theinhardt Regular"/>
          <w:color w:val="231F20"/>
          <w:spacing w:val="3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Erneue-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rungsfonds</w:t>
      </w:r>
      <w:r>
        <w:rPr>
          <w:rFonts w:ascii="Theinhardt Regular" w:hAnsi="Theinhardt Regular" w:cs="Theinhardt Regular" w:eastAsia="Theinhardt Regular"/>
          <w:color w:val="231F20"/>
          <w:spacing w:val="-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unterstützt</w:t>
      </w:r>
      <w:r>
        <w:rPr>
          <w:rFonts w:ascii="Theinhardt Regular" w:hAnsi="Theinhardt Regular" w:cs="Theinhardt Regular" w:eastAsia="Theinhardt Regular"/>
          <w:color w:val="231F20"/>
          <w:spacing w:val="-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diese</w:t>
      </w:r>
      <w:r>
        <w:rPr>
          <w:rFonts w:ascii="Theinhardt Regular" w:hAnsi="Theinhardt Regular" w:cs="Theinhardt Regular" w:eastAsia="Theinhardt Regular"/>
          <w:color w:val="231F20"/>
          <w:spacing w:val="-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solare</w:t>
      </w:r>
      <w:r>
        <w:rPr>
          <w:rFonts w:ascii="Theinhardt Regular" w:hAnsi="Theinhardt Regular" w:cs="Theinhardt Regular" w:eastAsia="Theinhardt Regular"/>
          <w:color w:val="231F20"/>
          <w:spacing w:val="-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Energie-</w:t>
      </w:r>
      <w:r>
        <w:rPr>
          <w:rFonts w:ascii="Theinhardt Regular" w:hAnsi="Theinhardt Regular" w:cs="Theinhardt Regular" w:eastAsia="Theinhardt Regular"/>
          <w:color w:val="231F20"/>
          <w:spacing w:val="5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Versorgung.</w:t>
      </w:r>
      <w:r>
        <w:rPr>
          <w:rFonts w:ascii="Theinhardt Regular" w:hAnsi="Theinhardt Regular" w:cs="Theinhardt Regular" w:eastAsia="Theinhardt Regular"/>
          <w:sz w:val="18"/>
          <w:szCs w:val="18"/>
        </w:rPr>
      </w:r>
    </w:p>
    <w:p>
      <w:pPr>
        <w:spacing w:line="230" w:lineRule="exact" w:before="0"/>
        <w:ind w:left="106" w:right="8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231F20"/>
          <w:sz w:val="18"/>
        </w:rPr>
        <w:t>Seit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2016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wurden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33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Studierende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in</w:t>
      </w:r>
      <w:r>
        <w:rPr>
          <w:rFonts w:ascii="Theinhardt Regular" w:hAnsi="Theinhardt Regular"/>
          <w:color w:val="231F20"/>
          <w:spacing w:val="7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ei-</w:t>
      </w:r>
      <w:r>
        <w:rPr>
          <w:rFonts w:ascii="Theinhardt Regular" w:hAnsi="Theinhardt Regular"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nem</w:t>
      </w:r>
      <w:r>
        <w:rPr>
          <w:rFonts w:ascii="Theinhardt Regular" w:hAnsi="Theinhardt Regular"/>
          <w:color w:val="231F20"/>
          <w:spacing w:val="1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28-tägigen</w:t>
      </w:r>
      <w:r>
        <w:rPr>
          <w:rFonts w:ascii="Theinhardt Regular" w:hAnsi="Theinhardt Regular"/>
          <w:color w:val="231F20"/>
          <w:spacing w:val="1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«Advanced</w:t>
      </w:r>
      <w:r>
        <w:rPr>
          <w:rFonts w:ascii="Theinhardt Regular" w:hAnsi="Theinhardt Regular"/>
          <w:color w:val="231F20"/>
          <w:spacing w:val="10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Solar-Training»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sowohl</w:t>
      </w:r>
      <w:r>
        <w:rPr>
          <w:rFonts w:ascii="Theinhardt Regular" w:hAnsi="Theinhardt Regular"/>
          <w:color w:val="231F20"/>
          <w:spacing w:val="38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theoretisch</w:t>
      </w:r>
      <w:r>
        <w:rPr>
          <w:rFonts w:ascii="Theinhardt Regular" w:hAnsi="Theinhardt Regular"/>
          <w:color w:val="231F20"/>
          <w:spacing w:val="3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wie</w:t>
      </w:r>
      <w:r>
        <w:rPr>
          <w:rFonts w:ascii="Theinhardt Regular" w:hAnsi="Theinhardt Regular"/>
          <w:color w:val="231F20"/>
          <w:spacing w:val="3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auch</w:t>
      </w:r>
      <w:r>
        <w:rPr>
          <w:rFonts w:ascii="Theinhardt Regular" w:hAnsi="Theinhardt Regular"/>
          <w:color w:val="231F20"/>
          <w:spacing w:val="3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praktisch</w:t>
      </w:r>
      <w:r>
        <w:rPr>
          <w:rFonts w:ascii="Theinhardt Regular" w:hAnsi="Theinhardt Regular"/>
          <w:color w:val="231F20"/>
          <w:spacing w:val="39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zu</w:t>
      </w:r>
      <w:r>
        <w:rPr>
          <w:rFonts w:ascii="Theinhardt Regular" w:hAnsi="Theinhardt Regular"/>
          <w:color w:val="231F20"/>
          <w:spacing w:val="27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vollwertigen</w:t>
      </w:r>
      <w:r>
        <w:rPr>
          <w:rFonts w:ascii="Theinhardt Regular" w:hAnsi="Theinhardt Regular"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PV-Planern</w:t>
      </w:r>
      <w:r>
        <w:rPr>
          <w:rFonts w:ascii="Theinhardt Regular" w:hAnsi="Theinhardt Regular"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ausgebildet.</w:t>
      </w:r>
      <w:r>
        <w:rPr>
          <w:rFonts w:ascii="Theinhardt Regular" w:hAnsi="Theinhardt Regular"/>
          <w:color w:val="231F20"/>
          <w:spacing w:val="11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Für</w:t>
      </w:r>
      <w:r>
        <w:rPr>
          <w:rFonts w:ascii="Theinhardt Regular" w:hAnsi="Theinhardt Regular"/>
          <w:color w:val="231F20"/>
          <w:spacing w:val="2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den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theoretischen</w:t>
      </w:r>
      <w:r>
        <w:rPr>
          <w:rFonts w:ascii="Theinhardt Regular" w:hAnsi="Theinhardt Regular"/>
          <w:color w:val="231F20"/>
          <w:spacing w:val="6"/>
          <w:sz w:val="18"/>
        </w:rPr>
        <w:t> </w:t>
      </w:r>
      <w:r>
        <w:rPr>
          <w:rFonts w:ascii="Theinhardt Regular" w:hAnsi="Theinhardt Regular"/>
          <w:color w:val="231F20"/>
          <w:spacing w:val="-4"/>
          <w:sz w:val="18"/>
        </w:rPr>
        <w:t>Teil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wurde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ein</w:t>
      </w:r>
      <w:r>
        <w:rPr>
          <w:rFonts w:ascii="Theinhardt Regular" w:hAnsi="Theinhardt Regular"/>
          <w:color w:val="231F20"/>
          <w:spacing w:val="21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englisch-</w:t>
      </w:r>
      <w:r>
        <w:rPr>
          <w:rFonts w:ascii="Theinhardt Regular" w:hAnsi="Theinhardt Regular"/>
          <w:sz w:val="18"/>
        </w:rPr>
      </w:r>
    </w:p>
    <w:p>
      <w:pPr>
        <w:pStyle w:val="BodyText"/>
        <w:spacing w:line="230" w:lineRule="exact" w:before="52"/>
        <w:ind w:right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  <w:spacing w:val="-1"/>
        </w:rPr>
        <w:t>Établie</w:t>
      </w:r>
      <w:r>
        <w:rPr>
          <w:color w:val="231F20"/>
          <w:spacing w:val="11"/>
        </w:rPr>
        <w:t> </w:t>
      </w:r>
      <w:r>
        <w:rPr>
          <w:color w:val="231F20"/>
        </w:rPr>
        <w:t>à</w:t>
      </w:r>
      <w:r>
        <w:rPr>
          <w:color w:val="231F20"/>
          <w:spacing w:val="11"/>
        </w:rPr>
        <w:t> </w:t>
      </w:r>
      <w:r>
        <w:rPr>
          <w:color w:val="231F20"/>
        </w:rPr>
        <w:t>Bâle,</w:t>
      </w:r>
      <w:r>
        <w:rPr>
          <w:color w:val="231F20"/>
          <w:spacing w:val="4"/>
        </w:rPr>
        <w:t> </w:t>
      </w:r>
      <w:r>
        <w:rPr>
          <w:color w:val="231F20"/>
        </w:rPr>
        <w:t>Sahay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Solar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Association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œu-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vre</w:t>
      </w:r>
      <w:r>
        <w:rPr>
          <w:color w:val="231F20"/>
          <w:spacing w:val="-1"/>
        </w:rPr>
        <w:t> depuis sept </w:t>
      </w:r>
      <w:r>
        <w:rPr>
          <w:color w:val="231F20"/>
        </w:rPr>
        <w:t>ans,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en Éthiopie,</w:t>
      </w:r>
      <w:r>
        <w:rPr>
          <w:color w:val="231F20"/>
          <w:spacing w:val="-8"/>
        </w:rPr>
        <w:t> </w:t>
      </w:r>
      <w:r>
        <w:rPr>
          <w:color w:val="231F20"/>
        </w:rPr>
        <w:t>à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promo-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tion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la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technologie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PV</w:t>
      </w:r>
      <w:r>
        <w:rPr>
          <w:color w:val="231F20"/>
          <w:spacing w:val="23"/>
        </w:rPr>
        <w:t> </w:t>
      </w:r>
      <w:r>
        <w:rPr>
          <w:color w:val="231F20"/>
        </w:rPr>
        <w:t>et</w:t>
      </w:r>
      <w:r>
        <w:rPr>
          <w:color w:val="231F20"/>
          <w:spacing w:val="23"/>
        </w:rPr>
        <w:t> </w:t>
      </w:r>
      <w:r>
        <w:rPr>
          <w:color w:val="231F20"/>
        </w:rPr>
        <w:t>à</w:t>
      </w:r>
      <w:r>
        <w:rPr>
          <w:color w:val="231F20"/>
          <w:spacing w:val="23"/>
        </w:rPr>
        <w:t> </w:t>
      </w:r>
      <w:r>
        <w:rPr>
          <w:color w:val="231F20"/>
        </w:rPr>
        <w:t>la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formation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spécialistes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29"/>
        </w:rPr>
        <w:t> </w:t>
      </w:r>
      <w:r>
        <w:rPr>
          <w:color w:val="231F20"/>
        </w:rPr>
        <w:t>la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branche.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Elle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élabore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programmes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formation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au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photo-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voltaïque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collaboration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avec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l’Université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technique</w:t>
      </w:r>
      <w:r>
        <w:rPr>
          <w:color w:val="231F20"/>
          <w:spacing w:val="2"/>
        </w:rPr>
        <w:t> </w:t>
      </w:r>
      <w:r>
        <w:rPr>
          <w:color w:val="231F20"/>
        </w:rPr>
        <w:t>Arba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Minch</w:t>
      </w:r>
      <w:r>
        <w:rPr>
          <w:color w:val="231F20"/>
          <w:spacing w:val="2"/>
        </w:rPr>
        <w:t> </w:t>
      </w:r>
      <w:r>
        <w:rPr>
          <w:color w:val="231F20"/>
        </w:rPr>
        <w:t>(AMU)</w:t>
      </w:r>
      <w:r>
        <w:rPr>
          <w:color w:val="231F20"/>
          <w:spacing w:val="2"/>
        </w:rPr>
        <w:t> </w:t>
      </w:r>
      <w:r>
        <w:rPr>
          <w:color w:val="231F20"/>
        </w:rPr>
        <w:t>ainsi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qu’avec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7"/>
        </w:rPr>
        <w:t> </w:t>
      </w:r>
      <w:r>
        <w:rPr>
          <w:color w:val="231F20"/>
        </w:rPr>
        <w:t>Haute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école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spécialisée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Suisse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italienne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(SUPSI)</w:t>
      </w:r>
      <w:r>
        <w:rPr>
          <w:color w:val="231F20"/>
          <w:spacing w:val="-10"/>
        </w:rPr>
        <w:t> </w:t>
      </w:r>
      <w:r>
        <w:rPr>
          <w:color w:val="231F20"/>
        </w:rPr>
        <w:t>et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Haute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école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Lucerne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(HSLU).</w:t>
      </w:r>
      <w:r>
        <w:rPr>
          <w:color w:val="231F20"/>
          <w:spacing w:val="33"/>
        </w:rPr>
        <w:t> </w:t>
      </w:r>
      <w:r>
        <w:rPr>
          <w:color w:val="231F20"/>
        </w:rPr>
        <w:t>À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jour,</w:t>
      </w:r>
      <w:r>
        <w:rPr>
          <w:color w:val="231F20"/>
          <w:spacing w:val="-23"/>
        </w:rPr>
        <w:t> </w:t>
      </w:r>
      <w:r>
        <w:rPr>
          <w:color w:val="231F20"/>
        </w:rPr>
        <w:t>plus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400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étudiant-e-s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(Bachelor/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Master)</w:t>
      </w:r>
      <w:r>
        <w:rPr>
          <w:color w:val="231F20"/>
          <w:spacing w:val="-2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enseignant-e-s</w:t>
      </w:r>
      <w:r>
        <w:rPr>
          <w:color w:val="231F20"/>
          <w:spacing w:val="-2"/>
        </w:rPr>
        <w:t> de toute </w:t>
      </w:r>
      <w:r>
        <w:rPr>
          <w:color w:val="231F20"/>
          <w:spacing w:val="-1"/>
        </w:rPr>
        <w:t>l’Éthiopie</w:t>
      </w:r>
      <w:r>
        <w:rPr>
          <w:color w:val="231F20"/>
          <w:spacing w:val="39"/>
        </w:rPr>
        <w:t> </w:t>
      </w:r>
      <w:r>
        <w:rPr>
          <w:color w:val="231F20"/>
        </w:rPr>
        <w:t>ont suivi </w:t>
      </w:r>
      <w:r>
        <w:rPr>
          <w:color w:val="231F20"/>
          <w:spacing w:val="-2"/>
        </w:rPr>
        <w:t>le</w:t>
      </w:r>
      <w:r>
        <w:rPr>
          <w:color w:val="231F20"/>
        </w:rPr>
        <w:t> </w:t>
      </w:r>
      <w:r>
        <w:rPr>
          <w:color w:val="231F20"/>
          <w:spacing w:val="-1"/>
        </w:rPr>
        <w:t>cours</w:t>
      </w:r>
      <w:r>
        <w:rPr>
          <w:color w:val="231F20"/>
        </w:rPr>
        <w:t> </w:t>
      </w:r>
      <w:r>
        <w:rPr>
          <w:color w:val="231F20"/>
          <w:spacing w:val="-2"/>
        </w:rPr>
        <w:t>de</w:t>
      </w:r>
      <w:r>
        <w:rPr>
          <w:color w:val="231F20"/>
        </w:rPr>
        <w:t> </w:t>
      </w:r>
      <w:r>
        <w:rPr>
          <w:color w:val="231F20"/>
          <w:spacing w:val="-1"/>
        </w:rPr>
        <w:t>base.</w:t>
      </w:r>
      <w:r>
        <w:rPr>
          <w:i w:val="0"/>
        </w:rPr>
      </w:r>
    </w:p>
    <w:p>
      <w:pPr>
        <w:pStyle w:val="BodyText"/>
        <w:spacing w:line="230" w:lineRule="exact"/>
        <w:ind w:right="4" w:firstLine="226"/>
        <w:jc w:val="both"/>
        <w:rPr>
          <w:i w:val="0"/>
        </w:rPr>
      </w:pPr>
      <w:r>
        <w:rPr>
          <w:color w:val="231F20"/>
          <w:spacing w:val="-5"/>
        </w:rPr>
        <w:t>Le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programme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«Lumière</w:t>
      </w:r>
      <w:r>
        <w:rPr>
          <w:color w:val="231F20"/>
          <w:spacing w:val="36"/>
        </w:rPr>
        <w:t> </w:t>
      </w:r>
      <w:r>
        <w:rPr>
          <w:color w:val="231F20"/>
        </w:rPr>
        <w:t>et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courant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so-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laires</w:t>
      </w:r>
      <w:r>
        <w:rPr>
          <w:color w:val="231F20"/>
          <w:spacing w:val="17"/>
        </w:rPr>
        <w:t> </w:t>
      </w:r>
      <w:r>
        <w:rPr>
          <w:color w:val="231F20"/>
        </w:rPr>
        <w:t>pour</w:t>
      </w:r>
      <w:r>
        <w:rPr>
          <w:color w:val="231F20"/>
          <w:spacing w:val="17"/>
        </w:rPr>
        <w:t> </w:t>
      </w:r>
      <w:r>
        <w:rPr>
          <w:color w:val="231F20"/>
        </w:rPr>
        <w:t>50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centres</w:t>
      </w:r>
      <w:r>
        <w:rPr>
          <w:color w:val="231F20"/>
          <w:spacing w:val="17"/>
        </w:rPr>
        <w:t> </w:t>
      </w:r>
      <w:r>
        <w:rPr>
          <w:color w:val="231F20"/>
        </w:rPr>
        <w:t>ruraux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santé»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prévoit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d’installer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systèmes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solaires</w:t>
      </w:r>
      <w:r>
        <w:rPr>
          <w:color w:val="231F20"/>
          <w:spacing w:val="39"/>
        </w:rPr>
        <w:t> </w:t>
      </w:r>
      <w:r>
        <w:rPr>
          <w:color w:val="231F20"/>
        </w:rPr>
        <w:t>dans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cinquante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antennes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médicales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au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sud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l’Éthiopie,</w:t>
      </w:r>
      <w:r>
        <w:rPr>
          <w:color w:val="231F20"/>
          <w:spacing w:val="8"/>
        </w:rPr>
        <w:t> </w:t>
      </w:r>
      <w:r>
        <w:rPr>
          <w:color w:val="231F20"/>
        </w:rPr>
        <w:t>dans</w:t>
      </w:r>
      <w:r>
        <w:rPr>
          <w:color w:val="231F20"/>
          <w:spacing w:val="15"/>
        </w:rPr>
        <w:t> </w:t>
      </w:r>
      <w:r>
        <w:rPr>
          <w:color w:val="231F20"/>
        </w:rPr>
        <w:t>la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zone</w:t>
      </w:r>
      <w:r>
        <w:rPr>
          <w:color w:val="231F20"/>
          <w:spacing w:val="15"/>
        </w:rPr>
        <w:t> </w:t>
      </w:r>
      <w:r>
        <w:rPr>
          <w:color w:val="231F20"/>
        </w:rPr>
        <w:t>Gamo</w:t>
      </w:r>
      <w:r>
        <w:rPr>
          <w:color w:val="231F20"/>
          <w:spacing w:val="15"/>
        </w:rPr>
        <w:t> </w:t>
      </w:r>
      <w:r>
        <w:rPr>
          <w:color w:val="231F20"/>
          <w:spacing w:val="1"/>
        </w:rPr>
        <w:t>Gofa.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Les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quinze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déjà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service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fournissent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l’éclairage</w:t>
      </w:r>
      <w:r>
        <w:rPr>
          <w:color w:val="231F20"/>
          <w:spacing w:val="8"/>
        </w:rPr>
        <w:t> </w:t>
      </w:r>
      <w:r>
        <w:rPr>
          <w:color w:val="231F20"/>
        </w:rPr>
        <w:t>et</w:t>
      </w:r>
      <w:r>
        <w:rPr>
          <w:color w:val="231F20"/>
          <w:spacing w:val="8"/>
        </w:rPr>
        <w:t> </w:t>
      </w:r>
      <w:r>
        <w:rPr>
          <w:color w:val="231F20"/>
        </w:rPr>
        <w:t>du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courant</w:t>
      </w:r>
      <w:r>
        <w:rPr>
          <w:color w:val="231F20"/>
          <w:spacing w:val="8"/>
        </w:rPr>
        <w:t> </w:t>
      </w:r>
      <w:r>
        <w:rPr>
          <w:color w:val="231F20"/>
        </w:rPr>
        <w:t>à</w:t>
      </w:r>
      <w:r>
        <w:rPr>
          <w:color w:val="231F20"/>
          <w:spacing w:val="8"/>
        </w:rPr>
        <w:t> </w:t>
      </w:r>
      <w:r>
        <w:rPr>
          <w:color w:val="231F20"/>
        </w:rPr>
        <w:t>plus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8"/>
        </w:rPr>
        <w:t> </w:t>
      </w:r>
      <w:r>
        <w:rPr>
          <w:color w:val="231F20"/>
        </w:rPr>
        <w:t>350’000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personnes.</w:t>
      </w:r>
      <w:r>
        <w:rPr>
          <w:color w:val="231F20"/>
          <w:spacing w:val="43"/>
        </w:rPr>
        <w:t> </w:t>
      </w:r>
      <w:r>
        <w:rPr>
          <w:color w:val="231F20"/>
          <w:spacing w:val="-4"/>
        </w:rPr>
        <w:t>L’équipe</w:t>
      </w:r>
      <w:r>
        <w:rPr>
          <w:color w:val="231F20"/>
          <w:spacing w:val="2"/>
        </w:rPr>
        <w:t> </w:t>
      </w:r>
      <w:r>
        <w:rPr>
          <w:color w:val="231F20"/>
        </w:rPr>
        <w:t>Sahay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l’Université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technique</w:t>
      </w:r>
      <w:r>
        <w:rPr>
          <w:color w:val="231F20"/>
          <w:spacing w:val="32"/>
        </w:rPr>
        <w:t> </w:t>
      </w:r>
      <w:r>
        <w:rPr>
          <w:color w:val="231F20"/>
        </w:rPr>
        <w:t>Arba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Minch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contrôle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chaque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an-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née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les</w:t>
      </w:r>
      <w:r>
        <w:rPr>
          <w:color w:val="231F20"/>
          <w:spacing w:val="3"/>
        </w:rPr>
        <w:t> </w:t>
      </w:r>
      <w:r>
        <w:rPr>
          <w:color w:val="231F20"/>
        </w:rPr>
        <w:t>installations.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fonds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rénovation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financé</w:t>
      </w:r>
      <w:r>
        <w:rPr>
          <w:color w:val="231F20"/>
          <w:spacing w:val="-4"/>
        </w:rPr>
        <w:t> </w:t>
      </w:r>
      <w:r>
        <w:rPr>
          <w:color w:val="231F20"/>
        </w:rPr>
        <w:t>par</w:t>
      </w:r>
      <w:r>
        <w:rPr>
          <w:color w:val="231F20"/>
          <w:spacing w:val="-3"/>
        </w:rPr>
        <w:t> </w:t>
      </w:r>
      <w:r>
        <w:rPr>
          <w:color w:val="231F20"/>
        </w:rPr>
        <w:t>l’État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soutient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cet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approvisionne-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ment</w:t>
      </w:r>
      <w:r>
        <w:rPr>
          <w:color w:val="231F20"/>
        </w:rPr>
        <w:t> </w:t>
      </w:r>
      <w:r>
        <w:rPr>
          <w:color w:val="231F20"/>
          <w:spacing w:val="-1"/>
        </w:rPr>
        <w:t>en</w:t>
      </w:r>
      <w:r>
        <w:rPr>
          <w:color w:val="231F20"/>
        </w:rPr>
        <w:t> </w:t>
      </w:r>
      <w:r>
        <w:rPr>
          <w:color w:val="231F20"/>
          <w:spacing w:val="-2"/>
        </w:rPr>
        <w:t>énergie</w:t>
      </w:r>
      <w:r>
        <w:rPr>
          <w:color w:val="231F20"/>
        </w:rPr>
        <w:t> </w:t>
      </w:r>
      <w:r>
        <w:rPr>
          <w:color w:val="231F20"/>
          <w:spacing w:val="-1"/>
        </w:rPr>
        <w:t>solaire.</w:t>
      </w:r>
      <w:r>
        <w:rPr>
          <w:i w:val="0"/>
        </w:rPr>
      </w:r>
    </w:p>
    <w:p>
      <w:pPr>
        <w:pStyle w:val="BodyText"/>
        <w:spacing w:line="230" w:lineRule="exact"/>
        <w:ind w:right="4" w:firstLine="226"/>
        <w:jc w:val="both"/>
        <w:rPr>
          <w:i w:val="0"/>
        </w:rPr>
      </w:pPr>
      <w:r>
        <w:rPr>
          <w:color w:val="231F20"/>
        </w:rPr>
        <w:t>Depuis</w:t>
      </w:r>
      <w:r>
        <w:rPr>
          <w:color w:val="231F20"/>
          <w:spacing w:val="-6"/>
        </w:rPr>
        <w:t> </w:t>
      </w:r>
      <w:r>
        <w:rPr>
          <w:color w:val="231F20"/>
        </w:rPr>
        <w:t>2016,</w:t>
      </w:r>
      <w:r>
        <w:rPr>
          <w:color w:val="231F20"/>
          <w:spacing w:val="-13"/>
        </w:rPr>
        <w:t> </w:t>
      </w:r>
      <w:r>
        <w:rPr>
          <w:color w:val="231F20"/>
        </w:rPr>
        <w:t>33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étudiant-e-s</w:t>
      </w:r>
      <w:r>
        <w:rPr>
          <w:color w:val="231F20"/>
          <w:spacing w:val="-6"/>
        </w:rPr>
        <w:t> </w:t>
      </w:r>
      <w:r>
        <w:rPr>
          <w:color w:val="231F20"/>
        </w:rPr>
        <w:t>ont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été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for-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més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2"/>
        </w:rPr>
        <w:t> </w:t>
      </w:r>
      <w:r>
        <w:rPr>
          <w:color w:val="231F20"/>
        </w:rPr>
        <w:t>tant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planificateurs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PV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accomplis</w:t>
      </w:r>
      <w:r>
        <w:rPr>
          <w:color w:val="231F20"/>
          <w:spacing w:val="29"/>
        </w:rPr>
        <w:t> </w:t>
      </w:r>
      <w:r>
        <w:rPr>
          <w:color w:val="231F20"/>
        </w:rPr>
        <w:t>dans</w:t>
      </w:r>
      <w:r>
        <w:rPr>
          <w:color w:val="231F20"/>
          <w:spacing w:val="-2"/>
        </w:rPr>
        <w:t> </w:t>
      </w:r>
      <w:r>
        <w:rPr>
          <w:color w:val="231F20"/>
        </w:rPr>
        <w:t>un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«Advanced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Solar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Training» théorique</w:t>
      </w:r>
      <w:r>
        <w:rPr>
          <w:color w:val="231F20"/>
          <w:spacing w:val="33"/>
        </w:rPr>
        <w:t> </w:t>
      </w:r>
      <w:r>
        <w:rPr>
          <w:color w:val="231F20"/>
        </w:rPr>
        <w:t>et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pratique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28</w:t>
      </w:r>
      <w:r>
        <w:rPr>
          <w:color w:val="231F20"/>
          <w:spacing w:val="13"/>
        </w:rPr>
        <w:t> </w:t>
      </w:r>
      <w:r>
        <w:rPr>
          <w:color w:val="231F20"/>
        </w:rPr>
        <w:t>jours.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13"/>
        </w:rPr>
        <w:t> </w:t>
      </w:r>
      <w:r>
        <w:rPr>
          <w:color w:val="231F20"/>
        </w:rPr>
        <w:t>partie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théorique</w:t>
      </w:r>
      <w:r>
        <w:rPr>
          <w:color w:val="231F20"/>
          <w:spacing w:val="31"/>
        </w:rPr>
        <w:t> </w:t>
      </w:r>
      <w:r>
        <w:rPr>
          <w:color w:val="231F20"/>
          <w:spacing w:val="-4"/>
        </w:rPr>
        <w:t>s</w:t>
      </w:r>
      <w:r>
        <w:rPr>
          <w:color w:val="231F20"/>
        </w:rPr>
        <w:t>’appu</w:t>
      </w:r>
      <w:r>
        <w:rPr>
          <w:color w:val="231F20"/>
          <w:spacing w:val="-3"/>
        </w:rPr>
        <w:t>i</w:t>
      </w:r>
      <w:r>
        <w:rPr>
          <w:color w:val="231F20"/>
          <w:spacing w:val="23"/>
        </w:rPr>
        <w:t>e</w:t>
      </w:r>
      <w:r>
        <w:rPr>
          <w:color w:val="231F20"/>
        </w:rPr>
        <w:t>su</w:t>
      </w:r>
      <w:r>
        <w:rPr>
          <w:color w:val="231F20"/>
          <w:spacing w:val="23"/>
        </w:rPr>
        <w:t>r</w:t>
      </w:r>
      <w:r>
        <w:rPr>
          <w:color w:val="231F20"/>
        </w:rPr>
        <w:t>d</w:t>
      </w:r>
      <w:r>
        <w:rPr>
          <w:color w:val="231F20"/>
          <w:spacing w:val="23"/>
        </w:rPr>
        <w:t>u</w:t>
      </w:r>
      <w:r>
        <w:rPr>
          <w:color w:val="231F20"/>
        </w:rPr>
        <w:t>m</w:t>
      </w:r>
      <w:r>
        <w:rPr>
          <w:color w:val="231F20"/>
          <w:spacing w:val="1"/>
        </w:rPr>
        <w:t>a</w:t>
      </w:r>
      <w:r>
        <w:rPr>
          <w:color w:val="231F20"/>
          <w:spacing w:val="-4"/>
        </w:rPr>
        <w:t>t</w:t>
      </w:r>
      <w:r>
        <w:rPr>
          <w:color w:val="231F20"/>
          <w:spacing w:val="-1"/>
        </w:rPr>
        <w:t>é</w:t>
      </w:r>
      <w:r>
        <w:rPr>
          <w:color w:val="231F20"/>
        </w:rPr>
        <w:t>r</w:t>
      </w:r>
      <w:r>
        <w:rPr>
          <w:color w:val="231F20"/>
          <w:spacing w:val="-3"/>
        </w:rPr>
        <w:t>i</w:t>
      </w:r>
      <w:r>
        <w:rPr>
          <w:color w:val="231F20"/>
        </w:rPr>
        <w:t>e</w:t>
      </w:r>
      <w:r>
        <w:rPr>
          <w:color w:val="231F20"/>
          <w:spacing w:val="23"/>
        </w:rPr>
        <w:t>l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</w:rPr>
        <w:t>dact</w:t>
      </w:r>
      <w:r>
        <w:rPr>
          <w:color w:val="231F20"/>
          <w:spacing w:val="-3"/>
        </w:rPr>
        <w:t>i</w:t>
      </w:r>
      <w:r>
        <w:rPr>
          <w:color w:val="231F20"/>
        </w:rPr>
        <w:t>q</w:t>
      </w:r>
      <w:r>
        <w:rPr>
          <w:color w:val="231F20"/>
          <w:spacing w:val="-4"/>
        </w:rPr>
        <w:t>u</w:t>
      </w:r>
      <w:r>
        <w:rPr>
          <w:color w:val="231F20"/>
          <w:spacing w:val="23"/>
        </w:rPr>
        <w:t>e</w:t>
      </w:r>
      <w:r>
        <w:rPr>
          <w:color w:val="231F20"/>
          <w:spacing w:val="-1"/>
        </w:rPr>
        <w:t>e</w:t>
      </w:r>
      <w:r>
        <w:rPr>
          <w:color w:val="231F20"/>
          <w:spacing w:val="23"/>
        </w:rPr>
        <w:t>n</w:t>
      </w:r>
      <w:r>
        <w:rPr>
          <w:color w:val="231F20"/>
        </w:rPr>
        <w:t>a</w:t>
      </w:r>
      <w:r>
        <w:rPr>
          <w:color w:val="231F20"/>
          <w:spacing w:val="-3"/>
        </w:rPr>
        <w:t>n</w:t>
      </w:r>
      <w:r>
        <w:rPr>
          <w:color w:val="231F20"/>
        </w:rPr>
        <w:t>glai</w:t>
      </w:r>
      <w:r>
        <w:rPr>
          <w:color w:val="231F20"/>
          <w:spacing w:val="4"/>
        </w:rPr>
        <w:t>s</w:t>
      </w:r>
      <w:r>
        <w:rPr>
          <w:color w:val="231F20"/>
        </w:rPr>
        <w:t>;</w:t>
      </w:r>
      <w:r>
        <w:rPr>
          <w:i w:val="0"/>
        </w:rPr>
      </w:r>
    </w:p>
    <w:p>
      <w:pPr>
        <w:spacing w:line="415" w:lineRule="auto" w:before="87"/>
        <w:ind w:left="106" w:right="1692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 w:hAnsi="Theinhardt Black"/>
          <w:b/>
          <w:color w:val="231F20"/>
          <w:sz w:val="14"/>
        </w:rPr>
        <w:t>Zum </w:t>
      </w:r>
      <w:r>
        <w:rPr>
          <w:rFonts w:ascii="Theinhardt Black" w:hAnsi="Theinhardt Black"/>
          <w:b/>
          <w:color w:val="231F20"/>
          <w:spacing w:val="1"/>
          <w:sz w:val="14"/>
        </w:rPr>
        <w:t>Verein</w:t>
      </w:r>
      <w:r>
        <w:rPr>
          <w:rFonts w:ascii="Theinhardt Black" w:hAnsi="Theinhardt Black"/>
          <w:b/>
          <w:color w:val="231F20"/>
          <w:spacing w:val="25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Gründungsjahr: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2010</w:t>
      </w:r>
      <w:r>
        <w:rPr>
          <w:rFonts w:ascii="Theinhardt Regular" w:hAnsi="Theinhardt Regular"/>
          <w:color w:val="231F20"/>
          <w:spacing w:val="22"/>
          <w:sz w:val="14"/>
        </w:rPr>
        <w:t> </w:t>
      </w:r>
      <w:r>
        <w:rPr>
          <w:rFonts w:ascii="Theinhardt Black" w:hAnsi="Theinhardt Black"/>
          <w:b/>
          <w:color w:val="231F20"/>
          <w:spacing w:val="2"/>
          <w:sz w:val="14"/>
        </w:rPr>
        <w:t>Projekte</w:t>
      </w:r>
      <w:r>
        <w:rPr>
          <w:rFonts w:ascii="Theinhardt Black" w:hAnsi="Theinhardt Black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pict>
          <v:group style="position:absolute;margin-left:385.511902pt;margin-top:-36.961708pt;width:167.25pt;height:.45pt;mso-position-horizontal-relative:page;mso-position-vertical-relative:paragraph;z-index:-5200" coordorigin="7710,-739" coordsize="3345,9">
            <v:group style="position:absolute;left:7732;top:-735;width:3311;height:2" coordorigin="7732,-735" coordsize="3311,2">
              <v:shape style="position:absolute;left:7732;top:-735;width:3311;height:2" coordorigin="7732,-735" coordsize="3311,0" path="m7732,-735l11042,-735e" filled="false" stroked="true" strokeweight=".425pt" strokecolor="#231f20">
                <v:path arrowok="t"/>
                <v:stroke dashstyle="dash"/>
              </v:shape>
            </v:group>
            <v:group style="position:absolute;left:7714;top:-735;width:2;height:2" coordorigin="7714,-735" coordsize="2,2">
              <v:shape style="position:absolute;left:7714;top:-735;width:2;height:2" coordorigin="7714,-735" coordsize="0,0" path="m7714,-735l7714,-735e" filled="false" stroked="true" strokeweight=".425pt" strokecolor="#231f20">
                <v:path arrowok="t"/>
              </v:shape>
            </v:group>
            <v:group style="position:absolute;left:11051;top:-735;width:2;height:2" coordorigin="11051,-735" coordsize="2,2">
              <v:shape style="position:absolute;left:11051;top:-735;width:2;height:2" coordorigin="11051,-735" coordsize="0,0" path="m11051,-735l11051,-735e" filled="false" stroked="true" strokeweight=".425pt" strokecolor="#231f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85.511902pt;margin-top:-4.961709pt;width:167.25pt;height:.45pt;mso-position-horizontal-relative:page;mso-position-vertical-relative:paragraph;z-index:-5176" coordorigin="7710,-99" coordsize="3345,9">
            <v:group style="position:absolute;left:7732;top:-95;width:3311;height:2" coordorigin="7732,-95" coordsize="3311,2">
              <v:shape style="position:absolute;left:7732;top:-95;width:3311;height:2" coordorigin="7732,-95" coordsize="3311,0" path="m7732,-95l11042,-95e" filled="false" stroked="true" strokeweight=".425pt" strokecolor="#231f20">
                <v:path arrowok="t"/>
                <v:stroke dashstyle="dash"/>
              </v:shape>
            </v:group>
            <v:group style="position:absolute;left:7714;top:-95;width:2;height:2" coordorigin="7714,-95" coordsize="2,2">
              <v:shape style="position:absolute;left:7714;top:-95;width:2;height:2" coordorigin="7714,-95" coordsize="0,0" path="m7714,-95l7714,-95e" filled="false" stroked="true" strokeweight=".425pt" strokecolor="#231f20">
                <v:path arrowok="t"/>
              </v:shape>
            </v:group>
            <v:group style="position:absolute;left:11051;top:-95;width:2;height:2" coordorigin="11051,-95" coordsize="2,2">
              <v:shape style="position:absolute;left:11051;top:-95;width:2;height:2" coordorigin="11051,-95" coordsize="0,0" path="m11051,-95l11051,-95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Bold"/>
          <w:b/>
          <w:color w:val="231F20"/>
          <w:spacing w:val="1"/>
          <w:sz w:val="14"/>
        </w:rPr>
        <w:t>Bau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eines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Photovoltaik-Labors</w:t>
      </w:r>
      <w:r>
        <w:rPr>
          <w:rFonts w:ascii="Theinhardt Bold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an </w:t>
      </w:r>
      <w:r>
        <w:rPr>
          <w:rFonts w:ascii="Theinhardt Regular" w:hAnsi="Theinhardt Regular"/>
          <w:color w:val="231F20"/>
          <w:spacing w:val="1"/>
          <w:sz w:val="14"/>
        </w:rPr>
        <w:t>der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Universität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von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Arba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Minch</w:t>
      </w:r>
      <w:r>
        <w:rPr>
          <w:rFonts w:ascii="Theinhardt Regular" w:hAnsi="Theinhardt Regular"/>
          <w:sz w:val="14"/>
        </w:rPr>
      </w:r>
    </w:p>
    <w:p>
      <w:pPr>
        <w:spacing w:line="281" w:lineRule="auto" w:before="32"/>
        <w:ind w:left="106" w:right="104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Licht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Solarstrom</w:t>
      </w:r>
      <w:r>
        <w:rPr>
          <w:rFonts w:ascii="Theinhardt Bold" w:hAnsi="Theinhardt Bold"/>
          <w:b/>
          <w:color w:val="231F20"/>
          <w:sz w:val="14"/>
        </w:rPr>
        <w:t> für </w:t>
      </w:r>
      <w:r>
        <w:rPr>
          <w:rFonts w:ascii="Theinhardt Bold" w:hAnsi="Theinhardt Bold"/>
          <w:b/>
          <w:color w:val="231F20"/>
          <w:spacing w:val="1"/>
          <w:sz w:val="14"/>
        </w:rPr>
        <w:t>50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Rural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Health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Centers</w:t>
      </w:r>
      <w:r>
        <w:rPr>
          <w:rFonts w:ascii="Theinhardt Bold" w:hAnsi="Theinhardt Bold"/>
          <w:b/>
          <w:color w:val="231F20"/>
          <w:spacing w:val="34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Ausbildung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«Advanced</w:t>
      </w:r>
      <w:r>
        <w:rPr>
          <w:rFonts w:ascii="Theinhardt Bold" w:hAnsi="Theinhardt Bold"/>
          <w:b/>
          <w:color w:val="231F20"/>
          <w:sz w:val="14"/>
        </w:rPr>
        <w:t> Solar-Training»</w:t>
      </w:r>
      <w:r>
        <w:rPr>
          <w:rFonts w:ascii="Theinhardt Bold" w:hAnsi="Theinhardt Bold"/>
          <w:sz w:val="14"/>
        </w:rPr>
      </w:r>
    </w:p>
    <w:p>
      <w:pPr>
        <w:spacing w:line="128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mit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gleichnamigem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Lehrmittel</w:t>
      </w:r>
      <w:r>
        <w:rPr>
          <w:rFonts w:ascii="Theinhardt Regular"/>
          <w:sz w:val="14"/>
        </w:rPr>
      </w: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10"/>
          <w:szCs w:val="10"/>
        </w:rPr>
      </w:pPr>
    </w:p>
    <w:p>
      <w:pPr>
        <w:spacing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2"/>
          <w:sz w:val="14"/>
        </w:rPr>
        <w:t>Erfolge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60" w:lineRule="exact" w:before="74"/>
        <w:ind w:left="106" w:right="51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400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Studenten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besuchten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bisher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Basiskurse</w:t>
      </w:r>
      <w:r>
        <w:rPr>
          <w:rFonts w:ascii="Theinhardt Regular"/>
          <w:color w:val="231F20"/>
          <w:sz w:val="14"/>
        </w:rPr>
        <w:t> in</w:t>
      </w:r>
      <w:r>
        <w:rPr>
          <w:rFonts w:ascii="Theinhardt Regular"/>
          <w:color w:val="231F20"/>
          <w:spacing w:val="28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PV-Technik</w:t>
      </w:r>
      <w:r>
        <w:rPr>
          <w:rFonts w:ascii="Theinhardt Regular"/>
          <w:sz w:val="14"/>
        </w:rPr>
      </w:r>
    </w:p>
    <w:p>
      <w:pPr>
        <w:spacing w:line="160" w:lineRule="exact" w:before="56"/>
        <w:ind w:left="106" w:right="8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33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Studenten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absolvierten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das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Advanced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Solar</w:t>
      </w:r>
      <w:r>
        <w:rPr>
          <w:rFonts w:ascii="Theinhardt Regular"/>
          <w:color w:val="231F20"/>
          <w:spacing w:val="38"/>
          <w:sz w:val="14"/>
        </w:rPr>
        <w:t> </w:t>
      </w:r>
      <w:r>
        <w:rPr>
          <w:rFonts w:ascii="Theinhardt Regular"/>
          <w:color w:val="231F20"/>
          <w:sz w:val="14"/>
        </w:rPr>
        <w:t>Training</w:t>
      </w:r>
      <w:r>
        <w:rPr>
          <w:rFonts w:ascii="Theinhardt Regular"/>
          <w:sz w:val="14"/>
        </w:rPr>
      </w:r>
    </w:p>
    <w:p>
      <w:pPr>
        <w:spacing w:line="160" w:lineRule="exact" w:before="56"/>
        <w:ind w:left="106" w:right="8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15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Krankenstationen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für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320’000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Einwohner/innen</w:t>
      </w:r>
      <w:r>
        <w:rPr>
          <w:rFonts w:ascii="Theinhardt Regular" w:hAnsi="Theinhardt Regular" w:cs="Theinhardt Regular" w:eastAsia="Theinhardt Regular"/>
          <w:color w:val="231F20"/>
          <w:spacing w:val="3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mit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versorgt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160" w:lineRule="exact" w:before="56"/>
        <w:ind w:left="106" w:right="8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8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Schulen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für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10’000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Schulkinder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mit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</w:t>
      </w:r>
      <w:r>
        <w:rPr>
          <w:rFonts w:ascii="Theinhardt Regular" w:hAnsi="Theinhardt Regular" w:cs="Theinhardt Regular" w:eastAsia="Theinhardt Regular"/>
          <w:color w:val="231F20"/>
          <w:spacing w:val="4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versorgt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11"/>
          <w:szCs w:val="11"/>
        </w:rPr>
      </w:pPr>
    </w:p>
    <w:p>
      <w:pPr>
        <w:spacing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2"/>
          <w:sz w:val="14"/>
        </w:rPr>
        <w:t>Partner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60" w:lineRule="exact" w:before="74"/>
        <w:ind w:left="106" w:right="104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-1"/>
          <w:sz w:val="14"/>
        </w:rPr>
        <w:t>Fachhochschule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der</w:t>
      </w:r>
      <w:r>
        <w:rPr>
          <w:rFonts w:ascii="Theinhardt Bold"/>
          <w:b/>
          <w:color w:val="231F20"/>
          <w:sz w:val="14"/>
        </w:rPr>
        <w:t> italienischen Schweiz (SUPSI)</w:t>
      </w:r>
      <w:r>
        <w:rPr>
          <w:rFonts w:ascii="Theinhardt Bold"/>
          <w:b/>
          <w:color w:val="231F20"/>
          <w:spacing w:val="3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Dr.</w:t>
      </w:r>
      <w:r>
        <w:rPr>
          <w:rFonts w:ascii="Theinhardt Regular"/>
          <w:color w:val="231F20"/>
          <w:spacing w:val="-9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Roman</w:t>
      </w:r>
      <w:r>
        <w:rPr>
          <w:rFonts w:ascii="Theinhardt Regular"/>
          <w:color w:val="231F20"/>
          <w:sz w:val="14"/>
        </w:rPr>
        <w:t> Rudel </w:t>
      </w:r>
      <w:r>
        <w:rPr>
          <w:rFonts w:ascii="Theinhardt Regular"/>
          <w:color w:val="231F20"/>
          <w:spacing w:val="-1"/>
          <w:sz w:val="14"/>
        </w:rPr>
        <w:t>(Leiter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ISAAC),</w:t>
      </w:r>
      <w:r>
        <w:rPr>
          <w:rFonts w:ascii="Theinhardt Regular"/>
          <w:color w:val="231F20"/>
          <w:spacing w:val="-9"/>
          <w:sz w:val="14"/>
        </w:rPr>
        <w:t> </w:t>
      </w:r>
      <w:r>
        <w:rPr>
          <w:rFonts w:ascii="Theinhardt Regular"/>
          <w:color w:val="231F20"/>
          <w:sz w:val="14"/>
        </w:rPr>
        <w:t>Domenico </w:t>
      </w:r>
      <w:r>
        <w:rPr>
          <w:rFonts w:ascii="Theinhardt Regular"/>
          <w:color w:val="231F20"/>
          <w:spacing w:val="-1"/>
          <w:sz w:val="14"/>
        </w:rPr>
        <w:t>Cianese</w:t>
      </w:r>
      <w:r>
        <w:rPr>
          <w:rFonts w:ascii="Theinhardt Regular"/>
          <w:color w:val="231F20"/>
          <w:spacing w:val="33"/>
          <w:sz w:val="14"/>
        </w:rPr>
        <w:t> </w:t>
      </w:r>
      <w:r>
        <w:rPr>
          <w:rFonts w:ascii="Theinhardt Regular"/>
          <w:color w:val="231F20"/>
          <w:sz w:val="14"/>
        </w:rPr>
        <w:t>(Senior </w:t>
      </w:r>
      <w:r>
        <w:rPr>
          <w:rFonts w:ascii="Theinhardt Regular"/>
          <w:color w:val="231F20"/>
          <w:spacing w:val="-1"/>
          <w:sz w:val="14"/>
        </w:rPr>
        <w:t>Researcher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ISAAC),</w:t>
      </w:r>
      <w:r>
        <w:rPr>
          <w:rFonts w:ascii="Theinhardt Regular"/>
          <w:color w:val="231F20"/>
          <w:spacing w:val="-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Tel.</w:t>
      </w:r>
      <w:r>
        <w:rPr>
          <w:rFonts w:ascii="Theinhardt Regular"/>
          <w:color w:val="231F20"/>
          <w:spacing w:val="-9"/>
          <w:sz w:val="14"/>
        </w:rPr>
        <w:t> </w:t>
      </w:r>
      <w:r>
        <w:rPr>
          <w:rFonts w:ascii="Theinhardt Regular"/>
          <w:color w:val="231F20"/>
          <w:sz w:val="14"/>
        </w:rPr>
        <w:t>058 666 63 50</w:t>
      </w:r>
      <w:r>
        <w:rPr>
          <w:rFonts w:ascii="Theinhardt Regular"/>
          <w:sz w:val="14"/>
        </w:rPr>
      </w:r>
    </w:p>
    <w:p>
      <w:pPr>
        <w:spacing w:line="172" w:lineRule="exact" w:before="49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-1"/>
          <w:sz w:val="14"/>
        </w:rPr>
        <w:t>Hochschule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Luzern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(HSLU)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954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>Roger </w:t>
      </w:r>
      <w:r>
        <w:rPr>
          <w:rFonts w:ascii="Theinhardt Regular" w:hAnsi="Theinhardt Regular"/>
          <w:color w:val="231F20"/>
          <w:spacing w:val="-1"/>
          <w:sz w:val="14"/>
        </w:rPr>
        <w:t>Buser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(Dozent</w:t>
      </w:r>
      <w:r>
        <w:rPr>
          <w:rFonts w:ascii="Theinhardt Regular" w:hAnsi="Theinhardt Regular"/>
          <w:color w:val="231F20"/>
          <w:sz w:val="14"/>
        </w:rPr>
        <w:t> Gebäudetechnik),</w:t>
      </w:r>
      <w:r>
        <w:rPr>
          <w:rFonts w:ascii="Theinhardt Regular" w:hAnsi="Theinhardt Regular"/>
          <w:color w:val="231F20"/>
          <w:spacing w:val="22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Tel.</w:t>
      </w:r>
      <w:r>
        <w:rPr>
          <w:rFonts w:ascii="Theinhardt Regular" w:hAnsi="Theinhardt Regular"/>
          <w:color w:val="231F20"/>
          <w:spacing w:val="-9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041 349 34 98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Arba Minch University </w:t>
      </w:r>
      <w:r>
        <w:rPr>
          <w:rFonts w:ascii="Theinhardt Bold" w:hAnsi="Theinhardt Bold"/>
          <w:b/>
          <w:color w:val="231F20"/>
          <w:spacing w:val="-1"/>
          <w:sz w:val="14"/>
        </w:rPr>
        <w:t>Äthiopien</w:t>
      </w:r>
      <w:r>
        <w:rPr>
          <w:rFonts w:ascii="Theinhardt Bold" w:hAnsi="Theinhardt Bold"/>
          <w:sz w:val="14"/>
        </w:rPr>
      </w:r>
    </w:p>
    <w:p>
      <w:pPr>
        <w:spacing w:line="207" w:lineRule="auto" w:before="5"/>
        <w:ind w:left="106" w:right="8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Zelalem</w:t>
      </w:r>
      <w:r>
        <w:rPr>
          <w:rFonts w:ascii="Theinhardt Regular"/>
          <w:color w:val="231F20"/>
          <w:sz w:val="14"/>
        </w:rPr>
        <w:t> Girma </w:t>
      </w:r>
      <w:r>
        <w:rPr>
          <w:rFonts w:ascii="Theinhardt Regular"/>
          <w:color w:val="231F20"/>
          <w:spacing w:val="-1"/>
          <w:sz w:val="14"/>
        </w:rPr>
        <w:t>(Chairman),</w:t>
      </w:r>
      <w:r>
        <w:rPr>
          <w:rFonts w:ascii="Theinhardt Regular"/>
          <w:color w:val="231F20"/>
          <w:spacing w:val="-9"/>
          <w:sz w:val="14"/>
        </w:rPr>
        <w:t> </w:t>
      </w:r>
      <w:r>
        <w:rPr>
          <w:rFonts w:ascii="Theinhardt Regular"/>
          <w:color w:val="231F20"/>
          <w:sz w:val="14"/>
        </w:rPr>
        <w:t>Sodessa Soma </w:t>
      </w:r>
      <w:r>
        <w:rPr>
          <w:rFonts w:ascii="Theinhardt Regular"/>
          <w:color w:val="231F20"/>
          <w:spacing w:val="-2"/>
          <w:sz w:val="14"/>
        </w:rPr>
        <w:t>(Technical</w:t>
      </w:r>
      <w:r>
        <w:rPr>
          <w:rFonts w:ascii="Theinhardt Regular"/>
          <w:color w:val="231F20"/>
          <w:spacing w:val="49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Manager),</w:t>
      </w:r>
      <w:r>
        <w:rPr>
          <w:rFonts w:ascii="Theinhardt Regular"/>
          <w:color w:val="231F20"/>
          <w:spacing w:val="-9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Zeleke</w:t>
      </w:r>
      <w:r>
        <w:rPr>
          <w:rFonts w:ascii="Theinhardt Regular"/>
          <w:color w:val="231F20"/>
          <w:sz w:val="14"/>
        </w:rPr>
        <w:t> Ginto </w:t>
      </w:r>
      <w:r>
        <w:rPr>
          <w:rFonts w:ascii="Theinhardt Regular"/>
          <w:color w:val="231F20"/>
          <w:spacing w:val="-2"/>
          <w:sz w:val="14"/>
        </w:rPr>
        <w:t>(Technical</w:t>
      </w:r>
      <w:r>
        <w:rPr>
          <w:rFonts w:ascii="Theinhardt Regular"/>
          <w:color w:val="231F20"/>
          <w:sz w:val="14"/>
        </w:rPr>
        <w:t> Assistant)</w:t>
      </w:r>
      <w:r>
        <w:rPr>
          <w:rFonts w:ascii="Theinhardt Regular"/>
          <w:sz w:val="14"/>
        </w:rPr>
      </w:r>
    </w:p>
    <w:p>
      <w:pPr>
        <w:spacing w:line="160" w:lineRule="exact" w:before="46"/>
        <w:ind w:left="106" w:right="8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Southern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Nations,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Nationalities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and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Peoples’</w:t>
      </w:r>
      <w:r>
        <w:rPr>
          <w:rFonts w:ascii="Theinhardt Bold" w:hAnsi="Theinhardt Bold" w:cs="Theinhardt Bold" w:eastAsia="Theinhardt Bold"/>
          <w:b/>
          <w:bCs/>
          <w:color w:val="231F20"/>
          <w:spacing w:val="-1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Region</w:t>
      </w:r>
      <w:r>
        <w:rPr>
          <w:rFonts w:ascii="Theinhardt Bold" w:hAnsi="Theinhardt Bold" w:cs="Theinhardt Bold" w:eastAsia="Theinhardt Bold"/>
          <w:b/>
          <w:bCs/>
          <w:color w:val="231F20"/>
          <w:spacing w:val="3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(SNNPR),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Gamo Gofa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Zone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17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Esayas Endrias (Chief </w:t>
      </w:r>
      <w:r>
        <w:rPr>
          <w:rFonts w:ascii="Theinhardt Regular"/>
          <w:color w:val="231F20"/>
          <w:spacing w:val="-1"/>
          <w:sz w:val="14"/>
        </w:rPr>
        <w:t>Administrator)</w:t>
      </w:r>
      <w:r>
        <w:rPr>
          <w:rFonts w:ascii="Theinhardt Regular"/>
          <w:sz w:val="14"/>
        </w:rPr>
      </w: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10"/>
          <w:szCs w:val="10"/>
        </w:rPr>
      </w:pPr>
    </w:p>
    <w:p>
      <w:pPr>
        <w:spacing w:line="149" w:lineRule="exact"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pict>
          <v:group style="position:absolute;margin-left:385.511902pt;margin-top:11.042001pt;width:167.25pt;height:.45pt;mso-position-horizontal-relative:page;mso-position-vertical-relative:paragraph;z-index:-5152" coordorigin="7710,221" coordsize="3345,9">
            <v:group style="position:absolute;left:7732;top:225;width:3311;height:2" coordorigin="7732,225" coordsize="3311,2">
              <v:shape style="position:absolute;left:7732;top:225;width:3311;height:2" coordorigin="7732,225" coordsize="3311,0" path="m7732,225l11042,225e" filled="false" stroked="true" strokeweight=".425pt" strokecolor="#231f20">
                <v:path arrowok="t"/>
                <v:stroke dashstyle="dash"/>
              </v:shape>
            </v:group>
            <v:group style="position:absolute;left:7714;top:225;width:2;height:2" coordorigin="7714,225" coordsize="2,2">
              <v:shape style="position:absolute;left:7714;top:225;width:2;height:2" coordorigin="7714,225" coordsize="0,0" path="m7714,225l7714,225e" filled="false" stroked="true" strokeweight=".425pt" strokecolor="#231f20">
                <v:path arrowok="t"/>
              </v:shape>
            </v:group>
            <v:group style="position:absolute;left:11051;top:225;width:2;height:2" coordorigin="11051,225" coordsize="2,2">
              <v:shape style="position:absolute;left:11051;top:225;width:2;height:2" coordorigin="11051,225" coordsize="0,0" path="m11051,225l11051,225e" filled="false" stroked="true" strokeweight=".425pt" strokecolor="#231f20">
                <v:path arrowok="t"/>
              </v:shape>
            </v:group>
            <w10:wrap type="none"/>
          </v:group>
        </w:pict>
      </w:r>
      <w:r>
        <w:rPr>
          <w:rFonts w:ascii="Theinhardt Black"/>
          <w:b/>
          <w:color w:val="231F20"/>
          <w:spacing w:val="2"/>
          <w:sz w:val="14"/>
        </w:rPr>
        <w:t>Vorstand</w:t>
      </w:r>
      <w:r>
        <w:rPr>
          <w:rFonts w:ascii="Theinhardt Black"/>
          <w:b/>
          <w:color w:val="231F20"/>
          <w:sz w:val="14"/>
        </w:rPr>
        <w:t> </w:t>
      </w:r>
      <w:r>
        <w:rPr>
          <w:rFonts w:ascii="Theinhardt Black"/>
          <w:b/>
          <w:color w:val="231F20"/>
          <w:spacing w:val="2"/>
          <w:sz w:val="14"/>
        </w:rPr>
        <w:t>Sahay</w:t>
      </w:r>
      <w:r>
        <w:rPr>
          <w:rFonts w:ascii="Theinhardt Black"/>
          <w:b/>
          <w:color w:val="231F20"/>
          <w:sz w:val="14"/>
        </w:rPr>
        <w:t> </w:t>
      </w:r>
      <w:r>
        <w:rPr>
          <w:rFonts w:ascii="Theinhardt Black"/>
          <w:b/>
          <w:color w:val="231F20"/>
          <w:spacing w:val="2"/>
          <w:sz w:val="14"/>
        </w:rPr>
        <w:t>Solar</w:t>
      </w:r>
      <w:r>
        <w:rPr>
          <w:rFonts w:ascii="Theinhardt Black"/>
          <w:b/>
          <w:color w:val="231F20"/>
          <w:sz w:val="14"/>
        </w:rPr>
        <w:t> </w:t>
      </w:r>
      <w:r>
        <w:rPr>
          <w:rFonts w:ascii="Theinhardt Black"/>
          <w:b/>
          <w:color w:val="231F20"/>
          <w:spacing w:val="1"/>
          <w:sz w:val="14"/>
        </w:rPr>
        <w:t>Verein</w:t>
      </w:r>
      <w:r>
        <w:rPr>
          <w:rFonts w:ascii="Theinhardt Black"/>
          <w:b/>
          <w:color w:val="231F20"/>
          <w:sz w:val="14"/>
        </w:rPr>
        <w:t> </w:t>
      </w:r>
      <w:r>
        <w:rPr>
          <w:rFonts w:ascii="Theinhardt Black"/>
          <w:b/>
          <w:color w:val="231F20"/>
          <w:spacing w:val="1"/>
          <w:sz w:val="14"/>
        </w:rPr>
        <w:t>Schweiz</w:t>
      </w:r>
      <w:r>
        <w:rPr>
          <w:rFonts w:ascii="Theinhardt Black"/>
          <w:sz w:val="14"/>
        </w:rPr>
      </w:r>
    </w:p>
    <w:p>
      <w:pPr>
        <w:spacing w:after="0" w:line="149" w:lineRule="exact"/>
        <w:jc w:val="left"/>
        <w:rPr>
          <w:rFonts w:ascii="Theinhardt Black" w:hAnsi="Theinhardt Black" w:cs="Theinhardt Black" w:eastAsia="Theinhardt Black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63" w:space="108"/>
            <w:col w:w="3459" w:space="113"/>
            <w:col w:w="3567"/>
          </w:cols>
        </w:sectPr>
      </w:pPr>
    </w:p>
    <w:p>
      <w:pPr>
        <w:pStyle w:val="Heading2"/>
        <w:spacing w:line="199" w:lineRule="exact"/>
        <w:ind w:right="0"/>
        <w:jc w:val="left"/>
      </w:pPr>
      <w:r>
        <w:rPr>
          <w:color w:val="231F20"/>
          <w:spacing w:val="-1"/>
        </w:rPr>
        <w:t>sprachiges</w:t>
      </w:r>
      <w:r>
        <w:rPr>
          <w:color w:val="231F20"/>
        </w:rPr>
        <w:t> 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Lehrmittel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entwickelt,</w:t>
      </w:r>
      <w:r>
        <w:rPr>
          <w:color w:val="231F20"/>
          <w:spacing w:val="-7"/>
        </w:rPr>
        <w:t> </w:t>
      </w:r>
      <w:r>
        <w:rPr>
          <w:color w:val="231F20"/>
        </w:rPr>
        <w:t>das</w:t>
      </w:r>
      <w:r>
        <w:rPr>
          <w:color w:val="231F20"/>
          <w:spacing w:val="4"/>
        </w:rPr>
        <w:t> </w:t>
      </w:r>
      <w:r>
        <w:rPr>
          <w:color w:val="231F20"/>
        </w:rPr>
        <w:t>auch</w:t>
      </w:r>
      <w:r>
        <w:rPr/>
      </w:r>
    </w:p>
    <w:p>
      <w:pPr>
        <w:pStyle w:val="BodyText"/>
        <w:tabs>
          <w:tab w:pos="3699" w:val="left" w:leader="none"/>
          <w:tab w:pos="7010" w:val="left" w:leader="none"/>
        </w:tabs>
        <w:spacing w:line="199" w:lineRule="exact"/>
        <w:ind w:right="0"/>
        <w:jc w:val="left"/>
        <w:rPr>
          <w:i w:val="0"/>
        </w:rPr>
      </w:pPr>
      <w:r>
        <w:rPr>
          <w:i w:val="0"/>
        </w:rPr>
        <w:br w:type="column"/>
      </w:r>
      <w:r>
        <w:rPr>
          <w:color w:val="231F20"/>
        </w:rPr>
        <w:t>il</w:t>
      </w:r>
      <w:r>
        <w:rPr>
          <w:color w:val="231F20"/>
          <w:spacing w:val="23"/>
        </w:rPr>
        <w:t> </w:t>
      </w:r>
      <w:r>
        <w:rPr>
          <w:color w:val="231F20"/>
        </w:rPr>
        <w:t>servira</w:t>
      </w:r>
      <w:r>
        <w:rPr>
          <w:color w:val="231F20"/>
          <w:spacing w:val="23"/>
        </w:rPr>
        <w:t> </w:t>
      </w:r>
      <w:r>
        <w:rPr>
          <w:color w:val="231F20"/>
        </w:rPr>
        <w:t>dans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d’autres</w:t>
      </w:r>
      <w:r>
        <w:rPr>
          <w:color w:val="231F20"/>
          <w:spacing w:val="23"/>
        </w:rPr>
        <w:t> </w:t>
      </w:r>
      <w:r>
        <w:rPr>
          <w:color w:val="231F20"/>
        </w:rPr>
        <w:t>pays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d’Afrique</w:t>
      </w:r>
      <w:r>
        <w:rPr>
          <w:color w:val="231F20"/>
          <w:spacing w:val="23"/>
        </w:rPr>
        <w:t> </w:t>
      </w:r>
      <w:r>
        <w:rPr>
          <w:color w:val="231F20"/>
        </w:rPr>
        <w:t>ainsi</w:t>
      </w:r>
      <w:r>
        <w:rPr>
          <w:color w:val="231F20"/>
        </w:rPr>
        <w:tab/>
        <w:t> </w:t>
        <w:tab/>
      </w:r>
      <w:r>
        <w:rPr>
          <w:i w:val="0"/>
        </w:rPr>
      </w:r>
    </w:p>
    <w:p>
      <w:pPr>
        <w:spacing w:after="0" w:line="199" w:lineRule="exact"/>
        <w:jc w:val="left"/>
        <w:sectPr>
          <w:type w:val="continuous"/>
          <w:pgSz w:w="11910" w:h="16840"/>
          <w:pgMar w:top="840" w:bottom="280" w:left="460" w:right="740"/>
          <w:cols w:num="2" w:equalWidth="0">
            <w:col w:w="3452" w:space="120"/>
            <w:col w:w="7138"/>
          </w:cols>
        </w:sectPr>
      </w:pPr>
    </w:p>
    <w:p>
      <w:pPr>
        <w:pStyle w:val="Heading2"/>
        <w:spacing w:line="232" w:lineRule="auto"/>
        <w:ind w:right="0"/>
        <w:jc w:val="both"/>
      </w:pP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weiteren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Ländern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Afrikas</w:t>
      </w:r>
      <w:r>
        <w:rPr>
          <w:color w:val="231F20"/>
          <w:spacing w:val="-15"/>
        </w:rPr>
        <w:t> </w:t>
      </w:r>
      <w:r>
        <w:rPr>
          <w:color w:val="231F20"/>
        </w:rPr>
        <w:t>und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Zentral-</w:t>
      </w:r>
      <w:r>
        <w:rPr>
          <w:color w:val="231F20"/>
          <w:spacing w:val="-15"/>
        </w:rPr>
        <w:t> </w:t>
      </w:r>
      <w:r>
        <w:rPr>
          <w:color w:val="231F20"/>
        </w:rPr>
        <w:t>und</w:t>
      </w:r>
      <w:r>
        <w:rPr>
          <w:color w:val="231F20"/>
          <w:spacing w:val="37"/>
        </w:rPr>
        <w:t> </w:t>
      </w:r>
      <w:r>
        <w:rPr>
          <w:color w:val="231F20"/>
        </w:rPr>
        <w:t>Südamerikas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Verwendung</w:t>
      </w:r>
      <w:r>
        <w:rPr>
          <w:color w:val="231F20"/>
          <w:spacing w:val="5"/>
        </w:rPr>
        <w:t> </w:t>
      </w:r>
      <w:r>
        <w:rPr>
          <w:color w:val="231F20"/>
        </w:rPr>
        <w:t>finden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soll.</w:t>
      </w:r>
      <w:r>
        <w:rPr>
          <w:color w:val="231F20"/>
          <w:spacing w:val="43"/>
        </w:rPr>
        <w:t> </w:t>
      </w:r>
      <w:r>
        <w:rPr>
          <w:color w:val="231F20"/>
        </w:rPr>
        <w:t>Im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praktischen</w:t>
      </w:r>
      <w:r>
        <w:rPr>
          <w:color w:val="231F20"/>
          <w:spacing w:val="34"/>
        </w:rPr>
        <w:t> </w:t>
      </w:r>
      <w:r>
        <w:rPr>
          <w:color w:val="231F20"/>
          <w:spacing w:val="-4"/>
        </w:rPr>
        <w:t>Teil</w:t>
      </w:r>
      <w:r>
        <w:rPr>
          <w:color w:val="231F20"/>
        </w:rPr>
        <w:t> </w:t>
      </w:r>
      <w:r>
        <w:rPr>
          <w:color w:val="231F20"/>
          <w:spacing w:val="-1"/>
        </w:rPr>
        <w:t>werden</w:t>
      </w:r>
      <w:r>
        <w:rPr>
          <w:color w:val="231F20"/>
        </w:rPr>
        <w:t> </w:t>
      </w:r>
      <w:r>
        <w:rPr>
          <w:color w:val="231F20"/>
          <w:spacing w:val="-1"/>
        </w:rPr>
        <w:t>Schulhäuser</w:t>
      </w:r>
      <w:r>
        <w:rPr>
          <w:color w:val="231F20"/>
        </w:rPr>
        <w:t> und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Krankenstationen</w:t>
      </w:r>
      <w:r>
        <w:rPr>
          <w:color w:val="231F20"/>
          <w:spacing w:val="35"/>
        </w:rPr>
        <w:t> </w:t>
      </w:r>
      <w:r>
        <w:rPr>
          <w:color w:val="231F20"/>
        </w:rPr>
        <w:t>elektrifiziert.</w:t>
      </w:r>
      <w:r>
        <w:rPr>
          <w:color w:val="231F20"/>
          <w:spacing w:val="25"/>
        </w:rPr>
        <w:t> </w:t>
      </w:r>
      <w:r>
        <w:rPr>
          <w:color w:val="231F20"/>
        </w:rPr>
        <w:t>Acht</w:t>
      </w:r>
      <w:r>
        <w:rPr>
          <w:color w:val="231F20"/>
          <w:spacing w:val="35"/>
        </w:rPr>
        <w:t> </w:t>
      </w:r>
      <w:r>
        <w:rPr>
          <w:color w:val="231F20"/>
        </w:rPr>
        <w:t>550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Watt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starke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PV-Anlagen</w:t>
      </w:r>
      <w:r>
        <w:rPr>
          <w:color w:val="231F20"/>
          <w:spacing w:val="4"/>
        </w:rPr>
        <w:t> </w:t>
      </w:r>
      <w:r>
        <w:rPr>
          <w:color w:val="231F20"/>
        </w:rPr>
        <w:t>erzeugen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nun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Licht</w:t>
      </w:r>
      <w:r>
        <w:rPr>
          <w:color w:val="231F20"/>
          <w:spacing w:val="33"/>
        </w:rPr>
        <w:t> </w:t>
      </w:r>
      <w:r>
        <w:rPr>
          <w:color w:val="231F20"/>
        </w:rPr>
        <w:t>und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Strom</w:t>
      </w:r>
      <w:r>
        <w:rPr>
          <w:color w:val="231F20"/>
          <w:spacing w:val="35"/>
        </w:rPr>
        <w:t> </w:t>
      </w:r>
      <w:r>
        <w:rPr>
          <w:color w:val="231F20"/>
        </w:rPr>
        <w:t>für</w:t>
      </w:r>
      <w:r>
        <w:rPr>
          <w:color w:val="231F20"/>
          <w:spacing w:val="34"/>
        </w:rPr>
        <w:t> </w:t>
      </w:r>
      <w:r>
        <w:rPr>
          <w:color w:val="231F20"/>
        </w:rPr>
        <w:t>gut</w:t>
      </w:r>
      <w:r>
        <w:rPr>
          <w:color w:val="231F20"/>
          <w:spacing w:val="35"/>
        </w:rPr>
        <w:t> </w:t>
      </w:r>
      <w:r>
        <w:rPr>
          <w:color w:val="231F20"/>
        </w:rPr>
        <w:t>10’000</w:t>
      </w:r>
      <w:r>
        <w:rPr>
          <w:color w:val="231F20"/>
          <w:spacing w:val="35"/>
        </w:rPr>
        <w:t> </w:t>
      </w:r>
      <w:r>
        <w:rPr>
          <w:color w:val="231F20"/>
        </w:rPr>
        <w:t>Schulkinder</w:t>
      </w:r>
      <w:r>
        <w:rPr>
          <w:color w:val="231F20"/>
          <w:spacing w:val="34"/>
        </w:rPr>
        <w:t> </w:t>
      </w:r>
      <w:r>
        <w:rPr>
          <w:color w:val="231F20"/>
        </w:rPr>
        <w:t>in</w:t>
      </w:r>
      <w:r>
        <w:rPr>
          <w:color w:val="231F20"/>
          <w:spacing w:val="21"/>
        </w:rPr>
        <w:t> </w:t>
      </w:r>
      <w:r>
        <w:rPr>
          <w:color w:val="231F20"/>
        </w:rPr>
        <w:t>abgelegenen</w:t>
      </w:r>
      <w:r>
        <w:rPr>
          <w:color w:val="231F20"/>
          <w:spacing w:val="-14"/>
        </w:rPr>
        <w:t> </w:t>
      </w:r>
      <w:r>
        <w:rPr>
          <w:color w:val="231F20"/>
        </w:rPr>
        <w:t>Dörfern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den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Bergen</w:t>
      </w:r>
      <w:r>
        <w:rPr>
          <w:color w:val="231F20"/>
          <w:spacing w:val="-14"/>
        </w:rPr>
        <w:t> </w:t>
      </w:r>
      <w:r>
        <w:rPr>
          <w:color w:val="231F20"/>
        </w:rPr>
        <w:t>des</w:t>
      </w:r>
      <w:r>
        <w:rPr>
          <w:color w:val="231F20"/>
          <w:spacing w:val="-14"/>
        </w:rPr>
        <w:t> </w:t>
      </w:r>
      <w:r>
        <w:rPr>
          <w:color w:val="231F20"/>
          <w:spacing w:val="2"/>
        </w:rPr>
        <w:t>Rift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Valleys.</w:t>
      </w:r>
      <w:r>
        <w:rPr/>
      </w:r>
    </w:p>
    <w:p>
      <w:pPr>
        <w:pStyle w:val="BodyText"/>
        <w:spacing w:line="232" w:lineRule="auto"/>
        <w:ind w:right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  <w:spacing w:val="-2"/>
        </w:rPr>
        <w:t>qu’en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Amérique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centrale</w:t>
      </w:r>
      <w:r>
        <w:rPr>
          <w:color w:val="231F20"/>
          <w:spacing w:val="-4"/>
        </w:rPr>
        <w:t> </w:t>
      </w:r>
      <w:r>
        <w:rPr>
          <w:color w:val="231F20"/>
        </w:rPr>
        <w:t>et</w:t>
      </w:r>
      <w:r>
        <w:rPr>
          <w:color w:val="231F20"/>
          <w:spacing w:val="-4"/>
        </w:rPr>
        <w:t> </w:t>
      </w:r>
      <w:r>
        <w:rPr>
          <w:color w:val="231F20"/>
        </w:rPr>
        <w:t>du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Sud.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partie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pratique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est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consacrée</w:t>
      </w:r>
      <w:r>
        <w:rPr>
          <w:color w:val="231F20"/>
          <w:spacing w:val="22"/>
        </w:rPr>
        <w:t> </w:t>
      </w:r>
      <w:r>
        <w:rPr>
          <w:color w:val="231F20"/>
        </w:rPr>
        <w:t>à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l’électrification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bâtiments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scolaires</w:t>
      </w:r>
      <w:r>
        <w:rPr>
          <w:color w:val="231F20"/>
          <w:spacing w:val="-8"/>
        </w:rPr>
        <w:t> </w:t>
      </w:r>
      <w:r>
        <w:rPr>
          <w:color w:val="231F20"/>
        </w:rPr>
        <w:t>et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d’antennes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médicales.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Aujourd’hui,</w:t>
      </w:r>
      <w:r>
        <w:rPr>
          <w:color w:val="231F20"/>
          <w:spacing w:val="13"/>
        </w:rPr>
        <w:t> </w:t>
      </w:r>
      <w:r>
        <w:rPr>
          <w:color w:val="231F20"/>
        </w:rPr>
        <w:t>huit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installations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PV</w:t>
      </w:r>
      <w:r>
        <w:rPr>
          <w:color w:val="231F20"/>
          <w:spacing w:val="2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20"/>
        </w:rPr>
        <w:t> </w:t>
      </w:r>
      <w:r>
        <w:rPr>
          <w:color w:val="231F20"/>
        </w:rPr>
        <w:t>550</w:t>
      </w:r>
      <w:r>
        <w:rPr>
          <w:color w:val="231F20"/>
          <w:spacing w:val="20"/>
        </w:rPr>
        <w:t> </w:t>
      </w:r>
      <w:r>
        <w:rPr>
          <w:color w:val="231F20"/>
        </w:rPr>
        <w:t>W</w:t>
      </w:r>
      <w:r>
        <w:rPr>
          <w:color w:val="231F20"/>
          <w:spacing w:val="39"/>
        </w:rPr>
        <w:t> </w:t>
      </w:r>
      <w:r>
        <w:rPr>
          <w:color w:val="231F20"/>
          <w:spacing w:val="-2"/>
        </w:rPr>
        <w:t>procurent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l’éclairage</w:t>
      </w:r>
      <w:r>
        <w:rPr>
          <w:color w:val="231F20"/>
          <w:spacing w:val="3"/>
        </w:rPr>
        <w:t> </w:t>
      </w:r>
      <w:r>
        <w:rPr>
          <w:color w:val="231F20"/>
        </w:rPr>
        <w:t>et</w:t>
      </w:r>
      <w:r>
        <w:rPr>
          <w:color w:val="231F20"/>
          <w:spacing w:val="3"/>
        </w:rPr>
        <w:t> </w:t>
      </w:r>
      <w:r>
        <w:rPr>
          <w:color w:val="231F20"/>
        </w:rPr>
        <w:t>du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courant</w:t>
      </w:r>
      <w:r>
        <w:rPr>
          <w:color w:val="231F20"/>
          <w:spacing w:val="3"/>
        </w:rPr>
        <w:t> </w:t>
      </w:r>
      <w:r>
        <w:rPr>
          <w:color w:val="231F20"/>
        </w:rPr>
        <w:t>à</w:t>
      </w:r>
      <w:r>
        <w:rPr>
          <w:color w:val="231F20"/>
          <w:spacing w:val="3"/>
        </w:rPr>
        <w:t> </w:t>
      </w:r>
      <w:r>
        <w:rPr>
          <w:color w:val="231F20"/>
        </w:rPr>
        <w:t>plus</w:t>
      </w:r>
      <w:r>
        <w:rPr>
          <w:color w:val="231F20"/>
          <w:spacing w:val="4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10’000</w:t>
      </w:r>
      <w:r>
        <w:rPr>
          <w:color w:val="231F20"/>
          <w:spacing w:val="-4"/>
        </w:rPr>
        <w:t> </w:t>
      </w:r>
      <w:r>
        <w:rPr>
          <w:color w:val="231F20"/>
        </w:rPr>
        <w:t>enfants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âge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scolaire,</w:t>
      </w:r>
      <w:r>
        <w:rPr>
          <w:color w:val="231F20"/>
          <w:spacing w:val="-11"/>
        </w:rPr>
        <w:t> </w:t>
      </w:r>
      <w:r>
        <w:rPr>
          <w:color w:val="231F20"/>
        </w:rPr>
        <w:t>dans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des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villages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montagne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reculés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la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vallée</w:t>
      </w:r>
      <w:r>
        <w:rPr>
          <w:color w:val="231F20"/>
          <w:spacing w:val="4"/>
        </w:rPr>
        <w:t> </w:t>
      </w:r>
      <w:r>
        <w:rPr>
          <w:color w:val="231F20"/>
        </w:rPr>
        <w:t>du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Rift.</w:t>
      </w:r>
      <w:r>
        <w:rPr>
          <w:i w:val="0"/>
        </w:rPr>
      </w:r>
    </w:p>
    <w:p>
      <w:pPr>
        <w:spacing w:line="15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br w:type="column"/>
      </w:r>
      <w:r>
        <w:rPr>
          <w:rFonts w:ascii="Theinhardt Regular" w:hAnsi="Theinhardt Regular"/>
          <w:color w:val="231F20"/>
          <w:spacing w:val="1"/>
          <w:sz w:val="14"/>
        </w:rPr>
        <w:t>Ruedi</w:t>
      </w:r>
      <w:r>
        <w:rPr>
          <w:rFonts w:ascii="Theinhardt Regular" w:hAnsi="Theinhardt Regular"/>
          <w:color w:val="231F20"/>
          <w:sz w:val="14"/>
        </w:rPr>
        <w:t> Tobler: </w:t>
      </w:r>
      <w:r>
        <w:rPr>
          <w:rFonts w:ascii="Theinhardt Regular" w:hAnsi="Theinhardt Regular"/>
          <w:color w:val="231F20"/>
          <w:spacing w:val="2"/>
          <w:sz w:val="14"/>
        </w:rPr>
        <w:t>Präsident</w:t>
      </w:r>
      <w:r>
        <w:rPr>
          <w:rFonts w:ascii="Theinhardt Regular" w:hAnsi="Theinhardt Regular"/>
          <w:sz w:val="14"/>
        </w:rPr>
      </w:r>
    </w:p>
    <w:p>
      <w:pPr>
        <w:spacing w:line="160" w:lineRule="exact" w:before="39"/>
        <w:ind w:left="106" w:right="8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Alexandra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Kellermann: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Administration,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Marketing,</w:t>
      </w:r>
      <w:r>
        <w:rPr>
          <w:rFonts w:ascii="Theinhardt Regular"/>
          <w:color w:val="231F20"/>
          <w:spacing w:val="64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Finanzen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und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Fundraising</w:t>
      </w:r>
      <w:r>
        <w:rPr>
          <w:rFonts w:ascii="Theinhardt Regular"/>
          <w:sz w:val="14"/>
        </w:rPr>
      </w:r>
    </w:p>
    <w:p>
      <w:pPr>
        <w:spacing w:before="49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Françoise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Lebet: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Patronat</w:t>
      </w:r>
      <w:r>
        <w:rPr>
          <w:rFonts w:ascii="Theinhardt Regular" w:hAnsi="Theinhardt Regular"/>
          <w:sz w:val="14"/>
        </w:rPr>
      </w:r>
    </w:p>
    <w:p>
      <w:pPr>
        <w:spacing w:before="32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Roger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Buser:</w:t>
      </w:r>
      <w:r>
        <w:rPr>
          <w:rFonts w:ascii="Theinhardt Regular"/>
          <w:color w:val="231F20"/>
          <w:sz w:val="14"/>
        </w:rPr>
        <w:t> Technik </w:t>
      </w:r>
      <w:r>
        <w:rPr>
          <w:rFonts w:ascii="Theinhardt Regular"/>
          <w:color w:val="231F20"/>
          <w:spacing w:val="1"/>
          <w:sz w:val="14"/>
        </w:rPr>
        <w:t>und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Ausbildung</w:t>
      </w:r>
      <w:r>
        <w:rPr>
          <w:rFonts w:ascii="Theinhardt Regular"/>
          <w:sz w:val="14"/>
        </w:rPr>
      </w: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10"/>
          <w:szCs w:val="10"/>
        </w:rPr>
      </w:pPr>
    </w:p>
    <w:p>
      <w:pPr>
        <w:spacing w:before="0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2"/>
          <w:sz w:val="14"/>
        </w:rPr>
        <w:t>Kontakt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60" w:lineRule="exact" w:before="74"/>
        <w:ind w:left="106" w:right="8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Sahay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Solar</w:t>
      </w:r>
      <w:r>
        <w:rPr>
          <w:rFonts w:ascii="Theinhardt Regular"/>
          <w:color w:val="231F20"/>
          <w:sz w:val="14"/>
        </w:rPr>
        <w:t> Verein </w:t>
      </w:r>
      <w:r>
        <w:rPr>
          <w:rFonts w:ascii="Theinhardt Regular"/>
          <w:color w:val="231F20"/>
          <w:spacing w:val="1"/>
          <w:sz w:val="14"/>
        </w:rPr>
        <w:t>Schweiz,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Ruedi</w:t>
      </w:r>
      <w:r>
        <w:rPr>
          <w:rFonts w:ascii="Theinhardt Regular"/>
          <w:color w:val="231F20"/>
          <w:sz w:val="14"/>
        </w:rPr>
        <w:t> Tobler</w:t>
      </w:r>
      <w:r>
        <w:rPr>
          <w:rFonts w:ascii="Theinhardt Regular"/>
          <w:color w:val="231F20"/>
          <w:spacing w:val="3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Schweizergasse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42,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4054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Basel</w:t>
      </w:r>
      <w:r>
        <w:rPr>
          <w:rFonts w:ascii="Theinhardt Regular"/>
          <w:sz w:val="14"/>
        </w:rPr>
      </w:r>
    </w:p>
    <w:p>
      <w:pPr>
        <w:spacing w:line="121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061 </w:t>
      </w:r>
      <w:r>
        <w:rPr>
          <w:rFonts w:ascii="Theinhardt Regular"/>
          <w:color w:val="231F20"/>
          <w:spacing w:val="-2"/>
          <w:sz w:val="14"/>
        </w:rPr>
        <w:t>281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87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7"/>
          <w:sz w:val="14"/>
        </w:rPr>
        <w:t>17</w:t>
      </w:r>
      <w:hyperlink r:id="rId5">
        <w:r>
          <w:rPr>
            <w:rFonts w:ascii="Theinhardt Regular"/>
            <w:color w:val="231F20"/>
            <w:spacing w:val="-7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h.r.tobler@swissonline.ch</w:t>
        </w:r>
        <w:r>
          <w:rPr>
            <w:rFonts w:ascii="Theinhardt Regular"/>
            <w:sz w:val="14"/>
          </w:rPr>
        </w:r>
      </w:hyperlink>
    </w:p>
    <w:p>
      <w:pPr>
        <w:spacing w:after="0" w:line="121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53" w:space="119"/>
            <w:col w:w="3459" w:space="112"/>
            <w:col w:w="3567"/>
          </w:cols>
        </w:sectPr>
      </w:pPr>
    </w:p>
    <w:p>
      <w:pPr>
        <w:pStyle w:val="Heading2"/>
        <w:spacing w:line="195" w:lineRule="exact"/>
        <w:ind w:right="0" w:firstLine="226"/>
        <w:jc w:val="left"/>
      </w:pPr>
      <w:r>
        <w:rPr>
          <w:color w:val="231F20"/>
          <w:spacing w:val="-1"/>
        </w:rPr>
        <w:t>Durch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seine</w:t>
      </w:r>
      <w:r>
        <w:rPr>
          <w:color w:val="231F20"/>
          <w:spacing w:val="27"/>
        </w:rPr>
        <w:t> </w:t>
      </w:r>
      <w:r>
        <w:rPr>
          <w:color w:val="231F20"/>
        </w:rPr>
        <w:t>Aktivitäten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trägt</w:t>
      </w:r>
      <w:r>
        <w:rPr>
          <w:color w:val="231F20"/>
          <w:spacing w:val="27"/>
        </w:rPr>
        <w:t> </w:t>
      </w:r>
      <w:r>
        <w:rPr>
          <w:color w:val="231F20"/>
        </w:rPr>
        <w:t>der</w:t>
      </w:r>
      <w:r>
        <w:rPr>
          <w:color w:val="231F20"/>
          <w:spacing w:val="27"/>
        </w:rPr>
        <w:t> </w:t>
      </w:r>
      <w:r>
        <w:rPr>
          <w:color w:val="231F20"/>
        </w:rPr>
        <w:t>Sahay</w:t>
      </w:r>
      <w:r>
        <w:rPr/>
      </w:r>
    </w:p>
    <w:p>
      <w:pPr>
        <w:spacing w:line="232" w:lineRule="auto" w:before="1"/>
        <w:ind w:left="106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231F20"/>
          <w:sz w:val="18"/>
        </w:rPr>
        <w:t>Solar</w:t>
      </w:r>
      <w:r>
        <w:rPr>
          <w:rFonts w:ascii="Theinhardt Regular" w:hAnsi="Theinhardt Regular"/>
          <w:color w:val="231F20"/>
          <w:spacing w:val="-12"/>
          <w:sz w:val="18"/>
        </w:rPr>
        <w:t> </w:t>
      </w:r>
      <w:r>
        <w:rPr>
          <w:rFonts w:ascii="Theinhardt Regular" w:hAnsi="Theinhardt Regular"/>
          <w:color w:val="231F20"/>
          <w:spacing w:val="-3"/>
          <w:sz w:val="18"/>
        </w:rPr>
        <w:t>Verein</w:t>
      </w:r>
      <w:r>
        <w:rPr>
          <w:rFonts w:ascii="Theinhardt Regular" w:hAnsi="Theinhardt Regular"/>
          <w:color w:val="231F20"/>
          <w:spacing w:val="-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zur</w:t>
      </w:r>
      <w:r>
        <w:rPr>
          <w:rFonts w:ascii="Theinhardt Regular" w:hAnsi="Theinhardt Regular"/>
          <w:color w:val="231F20"/>
          <w:spacing w:val="-12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Verbreitung</w:t>
      </w:r>
      <w:r>
        <w:rPr>
          <w:rFonts w:ascii="Theinhardt Regular" w:hAnsi="Theinhardt Regular"/>
          <w:color w:val="231F20"/>
          <w:spacing w:val="-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-1"/>
          <w:sz w:val="18"/>
        </w:rPr>
        <w:t> </w:t>
      </w:r>
      <w:r>
        <w:rPr>
          <w:rFonts w:ascii="Theinhardt Regular" w:hAnsi="Theinhardt Regular"/>
          <w:color w:val="231F20"/>
          <w:spacing w:val="-4"/>
          <w:sz w:val="18"/>
        </w:rPr>
        <w:t>PV-Technik,</w:t>
      </w:r>
      <w:r>
        <w:rPr>
          <w:rFonts w:ascii="Theinhardt Regular" w:hAnsi="Theinhardt Regular"/>
          <w:color w:val="231F20"/>
          <w:spacing w:val="3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zur</w:t>
      </w:r>
      <w:r>
        <w:rPr>
          <w:rFonts w:ascii="Theinhardt Regular" w:hAnsi="Theinhardt Regular"/>
          <w:color w:val="231F20"/>
          <w:spacing w:val="1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nachhaltigen</w:t>
      </w:r>
      <w:r>
        <w:rPr>
          <w:rFonts w:ascii="Theinhardt Regular" w:hAnsi="Theinhardt Regular"/>
          <w:color w:val="231F20"/>
          <w:spacing w:val="1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Entwicklung</w:t>
      </w:r>
      <w:r>
        <w:rPr>
          <w:rFonts w:ascii="Theinhardt Regular" w:hAnsi="Theinhardt Regular"/>
          <w:color w:val="231F20"/>
          <w:spacing w:val="1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des</w:t>
      </w:r>
      <w:r>
        <w:rPr>
          <w:rFonts w:ascii="Theinhardt Regular" w:hAnsi="Theinhardt Regular"/>
          <w:color w:val="231F20"/>
          <w:spacing w:val="1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Gesund-</w:t>
      </w:r>
      <w:r>
        <w:rPr>
          <w:rFonts w:ascii="Theinhardt Regular" w:hAnsi="Theinhardt Regular"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heitssystems,</w:t>
      </w:r>
      <w:r>
        <w:rPr>
          <w:rFonts w:ascii="Theinhardt Regular" w:hAnsi="Theinhardt Regular"/>
          <w:color w:val="231F20"/>
          <w:spacing w:val="-11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 Bildung und zur Stärkung</w:t>
      </w:r>
      <w:r>
        <w:rPr>
          <w:rFonts w:ascii="Theinhardt Regular" w:hAnsi="Theinhardt Regular"/>
          <w:color w:val="231F20"/>
          <w:spacing w:val="2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4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Zivilgesellschaft</w:t>
      </w:r>
      <w:r>
        <w:rPr>
          <w:rFonts w:ascii="Theinhardt Regular" w:hAnsi="Theinhardt Regular"/>
          <w:color w:val="231F20"/>
          <w:spacing w:val="4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in</w:t>
      </w:r>
      <w:r>
        <w:rPr>
          <w:rFonts w:ascii="Theinhardt Regular" w:hAnsi="Theinhardt Regular"/>
          <w:color w:val="231F20"/>
          <w:spacing w:val="4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Äthiopien</w:t>
      </w:r>
      <w:r>
        <w:rPr>
          <w:rFonts w:ascii="Theinhardt Regular" w:hAnsi="Theinhardt Regular"/>
          <w:color w:val="231F20"/>
          <w:spacing w:val="4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bei</w:t>
      </w:r>
      <w:r>
        <w:rPr>
          <w:rFonts w:ascii="Theinhardt Regular" w:hAnsi="Theinhardt Regular"/>
          <w:color w:val="231F20"/>
          <w:spacing w:val="4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2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verdient</w:t>
      </w:r>
      <w:r>
        <w:rPr>
          <w:rFonts w:ascii="Theinhardt Regular" w:hAnsi="Theinhardt Regular"/>
          <w:color w:val="231F20"/>
          <w:sz w:val="18"/>
        </w:rPr>
        <w:t> den </w:t>
      </w:r>
      <w:r>
        <w:rPr>
          <w:rFonts w:ascii="Theinhardt Regular" w:hAnsi="Theinhardt Regular"/>
          <w:color w:val="231F20"/>
          <w:spacing w:val="-1"/>
          <w:sz w:val="18"/>
        </w:rPr>
        <w:t>Schweizer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Solarpreis</w:t>
      </w:r>
      <w:r>
        <w:rPr>
          <w:rFonts w:ascii="Theinhardt Regular" w:hAnsi="Theinhardt Regular"/>
          <w:color w:val="231F20"/>
          <w:sz w:val="18"/>
        </w:rPr>
        <w:t> 2017.</w:t>
      </w:r>
      <w:r>
        <w:rPr>
          <w:rFonts w:ascii="Theinhardt Regular" w:hAnsi="Theinhardt Regular"/>
          <w:sz w:val="18"/>
        </w:rPr>
      </w:r>
    </w:p>
    <w:p>
      <w:pPr>
        <w:pStyle w:val="BodyText"/>
        <w:tabs>
          <w:tab w:pos="3699" w:val="left" w:leader="none"/>
          <w:tab w:pos="7010" w:val="left" w:leader="none"/>
        </w:tabs>
        <w:spacing w:line="195" w:lineRule="exact"/>
        <w:ind w:right="0" w:firstLine="226"/>
        <w:jc w:val="left"/>
        <w:rPr>
          <w:i w:val="0"/>
        </w:rPr>
      </w:pPr>
      <w:r>
        <w:rPr>
          <w:i w:val="0"/>
        </w:rPr>
        <w:br w:type="column"/>
      </w:r>
      <w:r>
        <w:rPr>
          <w:color w:val="231F20"/>
        </w:rPr>
        <w:t>Par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ses</w:t>
      </w:r>
      <w:r>
        <w:rPr>
          <w:color w:val="231F20"/>
          <w:spacing w:val="5"/>
        </w:rPr>
        <w:t> </w:t>
      </w:r>
      <w:r>
        <w:rPr>
          <w:color w:val="231F20"/>
        </w:rPr>
        <w:t>activités,</w:t>
      </w:r>
      <w:r>
        <w:rPr>
          <w:color w:val="231F20"/>
          <w:spacing w:val="-2"/>
        </w:rPr>
        <w:t> </w:t>
      </w:r>
      <w:r>
        <w:rPr>
          <w:color w:val="231F20"/>
        </w:rPr>
        <w:t>Sahay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Solar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Association</w:t>
      </w:r>
      <w:r>
        <w:rPr>
          <w:color w:val="231F20"/>
        </w:rPr>
        <w:tab/>
      </w:r>
      <w:r>
        <w:rPr>
          <w:color w:val="231F20"/>
          <w:u w:val="dotted" w:color="231F20"/>
        </w:rPr>
        <w:t> </w:t>
        <w:tab/>
      </w:r>
      <w:r>
        <w:rPr>
          <w:color w:val="231F20"/>
        </w:rPr>
      </w:r>
      <w:r>
        <w:rPr>
          <w:i w:val="0"/>
        </w:rPr>
      </w:r>
    </w:p>
    <w:p>
      <w:pPr>
        <w:pStyle w:val="BodyText"/>
        <w:spacing w:line="232" w:lineRule="auto" w:before="1"/>
        <w:ind w:right="3672"/>
        <w:jc w:val="both"/>
        <w:rPr>
          <w:i w:val="0"/>
        </w:rPr>
      </w:pPr>
      <w:r>
        <w:rPr/>
        <w:pict>
          <v:group style="position:absolute;margin-left:385.724396pt;margin-top:-4.995657pt;width:.1pt;height:.1pt;mso-position-horizontal-relative:page;mso-position-vertical-relative:paragraph;z-index:-5128" coordorigin="7714,-100" coordsize="2,2">
            <v:shape style="position:absolute;left:7714;top:-100;width:2;height:2" coordorigin="7714,-100" coordsize="0,0" path="m7714,-100l7714,-100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552.543396pt;margin-top:-4.995657pt;width:.1pt;height:.1pt;mso-position-horizontal-relative:page;mso-position-vertical-relative:paragraph;z-index:1216" coordorigin="11051,-100" coordsize="2,2">
            <v:shape style="position:absolute;left:11051;top:-100;width:2;height:2" coordorigin="11051,-100" coordsize="0,0" path="m11051,-100l11051,-100e" filled="false" stroked="true" strokeweight=".425pt" strokecolor="#231f20">
              <v:path arrowok="t"/>
            </v:shape>
            <w10:wrap type="none"/>
          </v:group>
        </w:pict>
      </w:r>
      <w:r>
        <w:rPr>
          <w:color w:val="231F20"/>
          <w:spacing w:val="-1"/>
        </w:rPr>
        <w:t>contribue</w:t>
      </w:r>
      <w:r>
        <w:rPr>
          <w:color w:val="231F20"/>
        </w:rPr>
        <w:t> à la diffusion </w:t>
      </w:r>
      <w:r>
        <w:rPr>
          <w:color w:val="231F20"/>
          <w:spacing w:val="-2"/>
        </w:rPr>
        <w:t>de</w:t>
      </w:r>
      <w:r>
        <w:rPr>
          <w:color w:val="231F20"/>
        </w:rPr>
        <w:t> la </w:t>
      </w:r>
      <w:r>
        <w:rPr>
          <w:color w:val="231F20"/>
          <w:spacing w:val="-2"/>
        </w:rPr>
        <w:t>technologie</w:t>
      </w:r>
      <w:r>
        <w:rPr>
          <w:color w:val="231F20"/>
        </w:rPr>
        <w:t> </w:t>
      </w:r>
      <w:r>
        <w:rPr>
          <w:color w:val="231F20"/>
          <w:spacing w:val="-5"/>
        </w:rPr>
        <w:t>PV,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au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développement</w:t>
      </w:r>
      <w:r>
        <w:rPr>
          <w:color w:val="231F20"/>
          <w:spacing w:val="-14"/>
        </w:rPr>
        <w:t> </w:t>
      </w:r>
      <w:r>
        <w:rPr>
          <w:color w:val="231F20"/>
        </w:rPr>
        <w:t>d’un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système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santé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du-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rable,</w:t>
      </w:r>
      <w:r>
        <w:rPr>
          <w:color w:val="231F20"/>
          <w:spacing w:val="12"/>
        </w:rPr>
        <w:t> </w:t>
      </w:r>
      <w:r>
        <w:rPr>
          <w:color w:val="231F20"/>
        </w:rPr>
        <w:t>à</w:t>
      </w:r>
      <w:r>
        <w:rPr>
          <w:color w:val="231F20"/>
          <w:spacing w:val="19"/>
        </w:rPr>
        <w:t> </w:t>
      </w:r>
      <w:r>
        <w:rPr>
          <w:color w:val="231F20"/>
        </w:rPr>
        <w:t>la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formation</w:t>
      </w:r>
      <w:r>
        <w:rPr>
          <w:color w:val="231F20"/>
          <w:spacing w:val="19"/>
        </w:rPr>
        <w:t> </w:t>
      </w:r>
      <w:r>
        <w:rPr>
          <w:color w:val="231F20"/>
        </w:rPr>
        <w:t>et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au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renforcement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33"/>
        </w:rPr>
        <w:t> </w:t>
      </w:r>
      <w:r>
        <w:rPr>
          <w:color w:val="231F20"/>
        </w:rPr>
        <w:t>la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société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civile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Éthiopie.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Elle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reçoit</w:t>
      </w:r>
      <w:r>
        <w:rPr>
          <w:color w:val="231F20"/>
          <w:spacing w:val="9"/>
        </w:rPr>
        <w:t> </w:t>
      </w:r>
      <w:r>
        <w:rPr>
          <w:color w:val="231F20"/>
        </w:rPr>
        <w:t>pour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cela</w:t>
      </w:r>
      <w:r>
        <w:rPr>
          <w:color w:val="231F20"/>
        </w:rPr>
        <w:t> </w:t>
      </w:r>
      <w:r>
        <w:rPr>
          <w:color w:val="231F20"/>
          <w:spacing w:val="-2"/>
        </w:rPr>
        <w:t>le</w:t>
      </w:r>
      <w:r>
        <w:rPr>
          <w:color w:val="231F20"/>
        </w:rPr>
        <w:t> Prix </w:t>
      </w:r>
      <w:r>
        <w:rPr>
          <w:color w:val="231F20"/>
          <w:spacing w:val="-1"/>
        </w:rPr>
        <w:t>Solaire</w:t>
      </w:r>
      <w:r>
        <w:rPr>
          <w:color w:val="231F20"/>
        </w:rPr>
        <w:t> </w:t>
      </w:r>
      <w:r>
        <w:rPr>
          <w:color w:val="231F20"/>
          <w:spacing w:val="-1"/>
        </w:rPr>
        <w:t>Suisse</w:t>
      </w:r>
      <w:r>
        <w:rPr>
          <w:color w:val="231F20"/>
        </w:rPr>
        <w:t> 2017.</w:t>
      </w:r>
      <w:r>
        <w:rPr>
          <w:i w:val="0"/>
        </w:rPr>
      </w:r>
    </w:p>
    <w:p>
      <w:pPr>
        <w:spacing w:after="0" w:line="232" w:lineRule="auto"/>
        <w:jc w:val="both"/>
        <w:sectPr>
          <w:type w:val="continuous"/>
          <w:pgSz w:w="11910" w:h="16840"/>
          <w:pgMar w:top="840" w:bottom="280" w:left="460" w:right="740"/>
          <w:cols w:num="2" w:equalWidth="0">
            <w:col w:w="3463" w:space="108"/>
            <w:col w:w="7139"/>
          </w:cols>
        </w:sect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0"/>
        <w:rPr>
          <w:rFonts w:ascii="Theinhardt Regular Italic" w:hAnsi="Theinhardt Regular Italic" w:cs="Theinhardt Regular Italic" w:eastAsia="Theinhardt Regular Italic"/>
          <w:i/>
          <w:sz w:val="20"/>
          <w:szCs w:val="20"/>
        </w:rPr>
      </w:pPr>
    </w:p>
    <w:p>
      <w:pPr>
        <w:spacing w:line="240" w:lineRule="auto" w:before="4"/>
        <w:rPr>
          <w:rFonts w:ascii="Theinhardt Regular Italic" w:hAnsi="Theinhardt Regular Italic" w:cs="Theinhardt Regular Italic" w:eastAsia="Theinhardt Regular Italic"/>
          <w:i/>
          <w:sz w:val="15"/>
          <w:szCs w:val="15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22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61536" cy="405993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536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5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tabs>
          <w:tab w:pos="5467" w:val="left" w:leader="none"/>
        </w:tabs>
        <w:spacing w:before="25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/>
        <w:pict>
          <v:shape style="position:absolute;margin-left:42.52pt;margin-top:202.334pt;width:256.535000pt;height:102.224pt;mso-position-horizontal-relative:page;mso-position-vertical-relative:paragraph;z-index:-5032" type="#_x0000_t75" stroked="false">
            <v:imagedata r:id="rId7" o:title=""/>
          </v:shape>
        </w:pict>
      </w:r>
      <w:r>
        <w:rPr/>
        <w:pict>
          <v:shape style="position:absolute;margin-left:42.52pt;margin-top:1.250417pt;width:256.535000pt;height:189.743583pt;mso-position-horizontal-relative:page;mso-position-vertical-relative:paragraph;z-index:-5008" type="#_x0000_t75" stroked="false">
            <v:imagedata r:id="rId8" o:title=""/>
          </v:shape>
        </w:pict>
      </w:r>
      <w:r>
        <w:rPr>
          <w:rFonts w:ascii="Theinhardt Bold"/>
          <w:b/>
          <w:color w:val="231F20"/>
          <w:sz w:val="14"/>
        </w:rPr>
        <w:t>2</w:t>
        <w:tab/>
      </w:r>
      <w:r>
        <w:rPr>
          <w:rFonts w:ascii="Theinhardt Bold"/>
          <w:b/>
          <w:color w:val="231F20"/>
          <w:position w:val="-211"/>
          <w:sz w:val="14"/>
        </w:rPr>
        <w:drawing>
          <wp:inline distT="0" distB="0" distL="0" distR="0">
            <wp:extent cx="3257994" cy="3851998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994" cy="385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b/>
          <w:color w:val="231F20"/>
          <w:position w:val="-211"/>
          <w:sz w:val="14"/>
        </w:rPr>
      </w:r>
      <w:r>
        <w:rPr>
          <w:rFonts w:ascii="Theinhardt Bold"/>
          <w:sz w:val="14"/>
        </w:rPr>
      </w:r>
    </w:p>
    <w:p>
      <w:pPr>
        <w:tabs>
          <w:tab w:pos="5467" w:val="left" w:leader="none"/>
        </w:tabs>
        <w:spacing w:before="16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3</w:t>
        <w:tab/>
        <w:t>4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15"/>
          <w:szCs w:val="15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15"/>
          <w:szCs w:val="15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Studenten</w:t>
      </w:r>
      <w:r>
        <w:rPr>
          <w:rFonts w:ascii="Theinhardt Bold" w:hAnsi="Theinhardt Bold"/>
          <w:b/>
          <w:color w:val="231F20"/>
          <w:spacing w:val="-1"/>
          <w:sz w:val="14"/>
        </w:rPr>
        <w:t> montieren PV-Module </w:t>
      </w:r>
      <w:r>
        <w:rPr>
          <w:rFonts w:ascii="Theinhardt Bold" w:hAnsi="Theinhardt Bold"/>
          <w:b/>
          <w:color w:val="231F20"/>
          <w:sz w:val="14"/>
        </w:rPr>
        <w:t>auf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einem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Dach</w:t>
      </w:r>
      <w:r>
        <w:rPr>
          <w:rFonts w:ascii="Theinhardt Bold" w:hAnsi="Theinhardt Bold"/>
          <w:b/>
          <w:color w:val="231F20"/>
          <w:spacing w:val="30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in </w:t>
      </w:r>
      <w:r>
        <w:rPr>
          <w:rFonts w:ascii="Theinhardt Bold" w:hAnsi="Theinhardt Bold"/>
          <w:b/>
          <w:color w:val="231F20"/>
          <w:spacing w:val="-1"/>
          <w:sz w:val="14"/>
        </w:rPr>
        <w:t>Äthiopien.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br w:type="column"/>
        <w:t>Domenico Chianese (rechts),</w:t>
      </w:r>
      <w:r>
        <w:rPr>
          <w:rFonts w:ascii="Theinhardt Bold"/>
          <w:b/>
          <w:color w:val="231F20"/>
          <w:spacing w:val="-6"/>
          <w:sz w:val="14"/>
        </w:rPr>
        <w:t> </w:t>
      </w:r>
      <w:r>
        <w:rPr>
          <w:rFonts w:ascii="Theinhardt Bold"/>
          <w:b/>
          <w:color w:val="231F20"/>
          <w:sz w:val="14"/>
        </w:rPr>
        <w:t>Dozent am SUPSI</w:t>
      </w:r>
      <w:r>
        <w:rPr>
          <w:rFonts w:ascii="Theinhardt Bold"/>
          <w:b/>
          <w:color w:val="231F20"/>
          <w:spacing w:val="27"/>
          <w:sz w:val="14"/>
        </w:rPr>
        <w:t> </w:t>
      </w:r>
      <w:r>
        <w:rPr>
          <w:rFonts w:ascii="Theinhardt Bold"/>
          <w:b/>
          <w:color w:val="231F20"/>
          <w:sz w:val="14"/>
        </w:rPr>
        <w:t>Lugano,</w:t>
      </w:r>
      <w:r>
        <w:rPr>
          <w:rFonts w:ascii="Theinhardt Bold"/>
          <w:b/>
          <w:color w:val="231F20"/>
          <w:spacing w:val="-6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unterrichtet</w:t>
      </w:r>
      <w:r>
        <w:rPr>
          <w:rFonts w:ascii="Theinhardt Bold"/>
          <w:b/>
          <w:color w:val="231F20"/>
          <w:sz w:val="14"/>
        </w:rPr>
        <w:t> im </w:t>
      </w:r>
      <w:r>
        <w:rPr>
          <w:rFonts w:ascii="Theinhardt Bold"/>
          <w:b/>
          <w:color w:val="231F20"/>
          <w:spacing w:val="-1"/>
          <w:sz w:val="14"/>
        </w:rPr>
        <w:t>Freien.</w:t>
      </w:r>
      <w:r>
        <w:rPr>
          <w:rFonts w:asci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0"/>
        <w:ind w:left="337" w:right="47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-1"/>
          <w:sz w:val="14"/>
        </w:rPr>
        <w:t>Freude</w:t>
      </w:r>
      <w:r>
        <w:rPr>
          <w:rFonts w:ascii="Theinhardt Bold"/>
          <w:b/>
          <w:color w:val="231F20"/>
          <w:sz w:val="14"/>
        </w:rPr>
        <w:t> herrscht: In Zeyise Danbile </w:t>
      </w:r>
      <w:r>
        <w:rPr>
          <w:rFonts w:ascii="Theinhardt Bold"/>
          <w:b/>
          <w:color w:val="231F20"/>
          <w:spacing w:val="-1"/>
          <w:sz w:val="14"/>
        </w:rPr>
        <w:t>brennt</w:t>
      </w:r>
      <w:r>
        <w:rPr>
          <w:rFonts w:ascii="Theinhardt Bold"/>
          <w:b/>
          <w:color w:val="231F20"/>
          <w:sz w:val="14"/>
        </w:rPr>
        <w:t> zum</w:t>
      </w:r>
      <w:r>
        <w:rPr>
          <w:rFonts w:ascii="Theinhardt Bold"/>
          <w:b/>
          <w:color w:val="231F20"/>
          <w:spacing w:val="22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ersten</w:t>
      </w:r>
      <w:r>
        <w:rPr>
          <w:rFonts w:ascii="Theinhardt Bold"/>
          <w:b/>
          <w:color w:val="231F20"/>
          <w:sz w:val="14"/>
        </w:rPr>
        <w:t> Mal auch nachts Solarlicht.</w:t>
      </w:r>
      <w:r>
        <w:rPr>
          <w:rFonts w:asci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128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Studenten </w:t>
      </w:r>
      <w:r>
        <w:rPr>
          <w:rFonts w:ascii="Theinhardt Bold" w:hAnsi="Theinhardt Bold"/>
          <w:b/>
          <w:color w:val="231F20"/>
          <w:spacing w:val="-1"/>
          <w:sz w:val="14"/>
        </w:rPr>
        <w:t>hören</w:t>
      </w:r>
      <w:r>
        <w:rPr>
          <w:rFonts w:ascii="Theinhardt Bold" w:hAnsi="Theinhardt Bold"/>
          <w:b/>
          <w:color w:val="231F20"/>
          <w:sz w:val="14"/>
        </w:rPr>
        <w:t> gebannt </w:t>
      </w:r>
      <w:r>
        <w:rPr>
          <w:rFonts w:ascii="Theinhardt Bold" w:hAnsi="Theinhardt Bold"/>
          <w:b/>
          <w:color w:val="231F20"/>
          <w:spacing w:val="-1"/>
          <w:sz w:val="14"/>
        </w:rPr>
        <w:t>ihrem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Professor</w:t>
      </w:r>
      <w:r>
        <w:rPr>
          <w:rFonts w:ascii="Theinhardt Bold" w:hAnsi="Theinhardt Bold"/>
          <w:b/>
          <w:color w:val="231F20"/>
          <w:sz w:val="14"/>
        </w:rPr>
        <w:t> im</w:t>
      </w:r>
      <w:r>
        <w:rPr>
          <w:rFonts w:ascii="Theinhardt Bold" w:hAnsi="Theinhardt Bold"/>
          <w:b/>
          <w:color w:val="231F20"/>
          <w:spacing w:val="29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neuen PV-Labor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Universität von Arba </w:t>
      </w:r>
      <w:r>
        <w:rPr>
          <w:rFonts w:ascii="Theinhardt Bold" w:hAnsi="Theinhardt Bold"/>
          <w:b/>
          <w:color w:val="231F20"/>
          <w:spacing w:val="1"/>
          <w:sz w:val="14"/>
        </w:rPr>
        <w:t>Minch/</w:t>
      </w:r>
      <w:r>
        <w:rPr>
          <w:rFonts w:ascii="Theinhardt Bold" w:hAnsi="Theinhardt Bold"/>
          <w:b/>
          <w:color w:val="231F20"/>
          <w:spacing w:val="27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Äthiopien</w:t>
      </w:r>
      <w:r>
        <w:rPr>
          <w:rFonts w:ascii="Theinhardt Bold" w:hAnsi="Theinhardt Bold"/>
          <w:b/>
          <w:color w:val="231F20"/>
          <w:sz w:val="14"/>
        </w:rPr>
        <w:t> zu.</w:t>
      </w:r>
      <w:r>
        <w:rPr>
          <w:rFonts w:ascii="Theinhardt Bold" w:hAns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456" w:space="116"/>
            <w:col w:w="3335" w:space="236"/>
            <w:col w:w="3567"/>
          </w:cols>
        </w:sectPr>
      </w:pP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2017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2017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23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9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60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72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84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96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08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20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31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/>
    </w:pPr>
    <w:rPr>
      <w:rFonts w:ascii="Theinhardt Regular Italic" w:hAnsi="Theinhardt Regular Italic" w:eastAsia="Theinhardt Regular Italic"/>
      <w:i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28"/>
      <w:ind w:left="106"/>
      <w:outlineLvl w:val="1"/>
    </w:pPr>
    <w:rPr>
      <w:rFonts w:ascii="Theinhardt Bold" w:hAnsi="Theinhardt Bold" w:eastAsia="Theinhardt Bold"/>
      <w:b/>
      <w:bCs/>
      <w:sz w:val="18"/>
      <w:szCs w:val="18"/>
    </w:rPr>
  </w:style>
  <w:style w:styleId="Heading2" w:type="paragraph">
    <w:name w:val="Heading 2"/>
    <w:basedOn w:val="Normal"/>
    <w:uiPriority w:val="1"/>
    <w:qFormat/>
    <w:pPr>
      <w:ind w:left="106"/>
      <w:outlineLvl w:val="2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h.r.tobler@swissonline.ch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2017-09-20T17:17:41Z</dcterms:created>
  <dcterms:modified xsi:type="dcterms:W3CDTF">2017-09-20T17:17:41Z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2017-09-20T00:00:00Z</vt:filetime>
  </property>
  <property fmtid="{D5CDD505-2E9C-101B-9397-08002B2CF9AE}" pid="3" name="LastSaved">
    <vt:filetime>2017-09-20T00:00:00Z</vt:filetime>
  </property>
</Properties>
</file>