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tabs>
          <w:tab w:pos="2546" w:val="left" w:leader="none"/>
        </w:tabs>
        <w:spacing w:line="230" w:lineRule="exact"/>
        <w:ind w:right="0"/>
        <w:jc w:val="left"/>
        <w:rPr>
          <w:rFonts w:ascii="Theinhardt Heavy" w:hAnsi="Theinhardt Heavy" w:cs="Theinhardt Heavy" w:eastAsia="Theinhardt Heavy"/>
          <w:b w:val="0"/>
          <w:bCs w:val="0"/>
        </w:rPr>
      </w:pPr>
      <w:r>
        <w:rPr/>
        <w:pict>
          <v:group style="position:absolute;margin-left:28.559pt;margin-top:13.647203pt;width:.1pt;height:.1pt;mso-position-horizontal-relative:page;mso-position-vertical-relative:paragraph;z-index:-11272" coordorigin="571,273" coordsize="2,2">
            <v:shape style="position:absolute;left:571;top:273;width:2;height:2" coordorigin="571,273" coordsize="0,0" path="m571,273l571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731995pt;margin-top:13.647203pt;width:.1pt;height:.1pt;mso-position-horizontal-relative:page;mso-position-vertical-relative:paragraph;z-index:1168" coordorigin="3015,273" coordsize="2,2">
            <v:shape style="position:absolute;left:3015;top:273;width:2;height:2" coordorigin="3015,273" coordsize="0,0" path="m3015,273l3015,273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Heavy"/>
          <w:b/>
          <w:color w:val="231F20"/>
        </w:rPr>
      </w:r>
      <w:r>
        <w:rPr>
          <w:rFonts w:ascii="Theinhardt Heavy"/>
          <w:b/>
          <w:color w:val="231F20"/>
          <w:u w:val="dotted" w:color="231F20"/>
        </w:rPr>
        <w:t>Kategorie B</w:t>
      </w:r>
      <w:r>
        <w:rPr>
          <w:rFonts w:ascii="Theinhardt Heavy"/>
          <w:b/>
          <w:color w:val="231F20"/>
          <w:u w:val="dotted" w:color="231F20"/>
        </w:rPr>
        <w:t> </w:t>
        <w:tab/>
      </w:r>
      <w:r>
        <w:rPr>
          <w:rFonts w:ascii="Theinhardt Heavy"/>
          <w:b/>
          <w:color w:val="231F20"/>
        </w:rPr>
      </w:r>
      <w:r>
        <w:rPr>
          <w:rFonts w:ascii="Theinhardt Heavy"/>
          <w:b/>
          <w:color w:val="231F20"/>
        </w:rPr>
        <w:t> </w:t>
      </w:r>
      <w:r>
        <w:rPr>
          <w:rFonts w:ascii="Theinhardt Heavy"/>
          <w:b/>
          <w:color w:val="231F20"/>
          <w:u w:val="dotted" w:color="231F20"/>
        </w:rPr>
        <w:t>PlusEnergieBauten</w:t>
      </w:r>
      <w:r>
        <w:rPr>
          <w:rFonts w:ascii="Theinhardt Heavy"/>
          <w:b/>
          <w:color w:val="231F20"/>
          <w:u w:val="dotted" w:color="231F20"/>
        </w:rPr>
        <w:t> </w:t>
        <w:tab/>
      </w:r>
      <w:r>
        <w:rPr>
          <w:rFonts w:ascii="Theinhardt Heavy"/>
          <w:b/>
          <w:color w:val="231F20"/>
        </w:rPr>
      </w:r>
      <w:r>
        <w:rPr>
          <w:rFonts w:ascii="Theinhardt Heavy"/>
          <w:b w:val="0"/>
        </w:rPr>
      </w:r>
    </w:p>
    <w:p>
      <w:pPr>
        <w:tabs>
          <w:tab w:pos="2550" w:val="left" w:leader="none"/>
        </w:tabs>
        <w:spacing w:line="20" w:lineRule="atLeast"/>
        <w:ind w:left="106" w:right="0" w:firstLine="0"/>
        <w:rPr>
          <w:rFonts w:ascii="Theinhardt Heavy" w:hAnsi="Theinhardt Heavy" w:cs="Theinhardt Heavy" w:eastAsia="Theinhardt Heavy"/>
          <w:sz w:val="2"/>
          <w:szCs w:val="2"/>
        </w:rPr>
      </w:pPr>
      <w:r>
        <w:rPr>
          <w:rFonts w:ascii="Theinhardt Heavy"/>
          <w:sz w:val="2"/>
        </w:rPr>
        <w:pict>
          <v:group style="width:.45pt;height:.45pt;mso-position-horizontal-relative:char;mso-position-vertical-relative:line" coordorigin="0,0" coordsize="9,9"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Heavy"/>
          <w:sz w:val="2"/>
        </w:rPr>
      </w:r>
      <w:r>
        <w:rPr>
          <w:rFonts w:ascii="Theinhardt Heavy"/>
          <w:sz w:val="2"/>
        </w:rPr>
        <w:tab/>
      </w:r>
      <w:r>
        <w:rPr>
          <w:rFonts w:ascii="Theinhardt Heavy"/>
          <w:sz w:val="2"/>
        </w:rPr>
        <w:pict>
          <v:group style="width:.45pt;height:.45pt;mso-position-horizontal-relative:char;mso-position-vertical-relative:line" coordorigin="0,0" coordsize="9,9"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Heavy"/>
          <w:sz w:val="2"/>
        </w:rPr>
      </w:r>
    </w:p>
    <w:p>
      <w:pPr>
        <w:pStyle w:val="BodyText"/>
        <w:spacing w:line="240" w:lineRule="auto"/>
        <w:ind w:right="0" w:firstLine="0"/>
        <w:jc w:val="left"/>
      </w:pPr>
      <w:r>
        <w:rPr/>
        <w:pict>
          <v:shape style="position:absolute;margin-left:28.347pt;margin-top:27.536776pt;width:82.204400pt;height:60.2039pt;mso-position-horizontal-relative:page;mso-position-vertical-relative:paragraph;z-index:1192" type="#_x0000_t75" stroked="false">
            <v:imagedata r:id="rId5" o:title=""/>
          </v:shape>
        </w:pict>
      </w:r>
      <w:r>
        <w:rPr>
          <w:color w:val="231F20"/>
        </w:rPr>
        <w:t>3.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PlusEnergieBau</w:t>
      </w:r>
      <w:r>
        <w:rPr>
          <w:color w:val="231F20"/>
          <w:spacing w:val="-1"/>
          <w:position w:val="6"/>
          <w:sz w:val="10"/>
        </w:rPr>
        <w:t>®</w:t>
      </w:r>
      <w:r>
        <w:rPr>
          <w:color w:val="231F20"/>
          <w:spacing w:val="-1"/>
        </w:rPr>
        <w:t>-Solarpreis</w:t>
      </w:r>
      <w:r>
        <w:rPr/>
      </w:r>
    </w:p>
    <w:p>
      <w:pPr>
        <w:pStyle w:val="Heading1"/>
        <w:spacing w:line="230" w:lineRule="exact"/>
        <w:ind w:right="107"/>
        <w:jc w:val="both"/>
        <w:rPr>
          <w:b w:val="0"/>
          <w:bCs w:val="0"/>
        </w:rPr>
      </w:pPr>
      <w:r>
        <w:rPr>
          <w:b w:val="0"/>
          <w:bCs w:val="0"/>
        </w:rPr>
        <w:br w:type="column"/>
      </w:r>
      <w:r>
        <w:rPr>
          <w:color w:val="231F20"/>
        </w:rPr>
        <w:t>Der</w:t>
      </w:r>
      <w:r>
        <w:rPr>
          <w:color w:val="231F20"/>
          <w:spacing w:val="11"/>
        </w:rPr>
        <w:t> </w:t>
      </w:r>
      <w:r>
        <w:rPr>
          <w:color w:val="231F20"/>
        </w:rPr>
        <w:t>in</w:t>
      </w:r>
      <w:r>
        <w:rPr>
          <w:color w:val="231F20"/>
          <w:spacing w:val="11"/>
        </w:rPr>
        <w:t> </w:t>
      </w:r>
      <w:r>
        <w:rPr>
          <w:color w:val="231F20"/>
        </w:rPr>
        <w:t>den</w:t>
      </w:r>
      <w:r>
        <w:rPr>
          <w:color w:val="231F20"/>
          <w:spacing w:val="11"/>
        </w:rPr>
        <w:t> </w:t>
      </w:r>
      <w:r>
        <w:rPr>
          <w:color w:val="231F20"/>
        </w:rPr>
        <w:t>70er</w:t>
      </w:r>
      <w:r>
        <w:rPr>
          <w:color w:val="231F20"/>
          <w:spacing w:val="11"/>
        </w:rPr>
        <w:t> </w:t>
      </w:r>
      <w:r>
        <w:rPr>
          <w:color w:val="231F20"/>
        </w:rPr>
        <w:t>Jahren</w:t>
      </w:r>
      <w:r>
        <w:rPr>
          <w:color w:val="231F20"/>
          <w:spacing w:val="11"/>
        </w:rPr>
        <w:t> </w:t>
      </w:r>
      <w:r>
        <w:rPr>
          <w:color w:val="231F20"/>
        </w:rPr>
        <w:t>in</w:t>
      </w:r>
      <w:r>
        <w:rPr>
          <w:color w:val="231F20"/>
          <w:spacing w:val="11"/>
        </w:rPr>
        <w:t> </w:t>
      </w:r>
      <w:r>
        <w:rPr>
          <w:color w:val="231F20"/>
        </w:rPr>
        <w:t>Brusio/GR</w:t>
      </w:r>
      <w:r>
        <w:rPr>
          <w:color w:val="231F20"/>
          <w:spacing w:val="11"/>
        </w:rPr>
        <w:t> </w:t>
      </w:r>
      <w:r>
        <w:rPr>
          <w:color w:val="231F20"/>
        </w:rPr>
        <w:t>erstellte</w:t>
      </w:r>
      <w:r>
        <w:rPr>
          <w:color w:val="231F20"/>
          <w:spacing w:val="11"/>
        </w:rPr>
        <w:t> </w:t>
      </w:r>
      <w:r>
        <w:rPr>
          <w:color w:val="231F20"/>
        </w:rPr>
        <w:t>Gewerbebau</w:t>
      </w:r>
      <w:r>
        <w:rPr>
          <w:color w:val="231F20"/>
          <w:spacing w:val="11"/>
        </w:rPr>
        <w:t> </w:t>
      </w:r>
      <w:r>
        <w:rPr>
          <w:color w:val="231F20"/>
        </w:rPr>
        <w:t>ist</w:t>
      </w:r>
      <w:r>
        <w:rPr>
          <w:color w:val="231F20"/>
          <w:spacing w:val="11"/>
        </w:rPr>
        <w:t> </w:t>
      </w:r>
      <w:r>
        <w:rPr>
          <w:color w:val="231F20"/>
        </w:rPr>
        <w:t>seit</w:t>
      </w:r>
      <w:r>
        <w:rPr>
          <w:color w:val="231F20"/>
          <w:spacing w:val="11"/>
        </w:rPr>
        <w:t> </w:t>
      </w:r>
      <w:r>
        <w:rPr>
          <w:color w:val="231F20"/>
        </w:rPr>
        <w:t>März</w:t>
      </w:r>
      <w:r>
        <w:rPr>
          <w:color w:val="231F20"/>
          <w:spacing w:val="11"/>
        </w:rPr>
        <w:t> </w:t>
      </w:r>
      <w:r>
        <w:rPr>
          <w:color w:val="231F20"/>
        </w:rPr>
        <w:t>2016</w:t>
      </w:r>
      <w:r>
        <w:rPr>
          <w:color w:val="231F20"/>
          <w:spacing w:val="11"/>
        </w:rPr>
        <w:t> </w:t>
      </w:r>
      <w:r>
        <w:rPr>
          <w:color w:val="231F20"/>
        </w:rPr>
        <w:t>energetisch</w:t>
      </w:r>
      <w:r>
        <w:rPr>
          <w:color w:val="231F20"/>
          <w:spacing w:val="11"/>
        </w:rPr>
        <w:t> </w:t>
      </w:r>
      <w:r>
        <w:rPr>
          <w:color w:val="231F20"/>
        </w:rPr>
        <w:t>und</w:t>
      </w:r>
      <w:r>
        <w:rPr>
          <w:color w:val="231F20"/>
        </w:rPr>
        <w:t> architektonisch</w:t>
      </w:r>
      <w:r>
        <w:rPr>
          <w:color w:val="231F20"/>
          <w:spacing w:val="5"/>
        </w:rPr>
        <w:t> </w:t>
      </w:r>
      <w:r>
        <w:rPr>
          <w:color w:val="231F20"/>
        </w:rPr>
        <w:t>vollständig</w:t>
      </w:r>
      <w:r>
        <w:rPr>
          <w:color w:val="231F20"/>
          <w:spacing w:val="5"/>
        </w:rPr>
        <w:t> </w:t>
      </w:r>
      <w:r>
        <w:rPr>
          <w:color w:val="231F20"/>
        </w:rPr>
        <w:t>renoviert</w:t>
      </w:r>
      <w:r>
        <w:rPr>
          <w:color w:val="231F20"/>
          <w:spacing w:val="5"/>
        </w:rPr>
        <w:t> </w:t>
      </w:r>
      <w:r>
        <w:rPr>
          <w:color w:val="231F20"/>
        </w:rPr>
        <w:t>und</w:t>
      </w:r>
      <w:r>
        <w:rPr>
          <w:color w:val="231F20"/>
          <w:spacing w:val="5"/>
        </w:rPr>
        <w:t> </w:t>
      </w:r>
      <w:r>
        <w:rPr>
          <w:color w:val="231F20"/>
        </w:rPr>
        <w:t>in</w:t>
      </w:r>
      <w:r>
        <w:rPr>
          <w:color w:val="231F20"/>
          <w:spacing w:val="5"/>
        </w:rPr>
        <w:t> </w:t>
      </w:r>
      <w:r>
        <w:rPr>
          <w:color w:val="231F20"/>
        </w:rPr>
        <w:t>einen</w:t>
      </w:r>
      <w:r>
        <w:rPr>
          <w:color w:val="231F20"/>
          <w:spacing w:val="5"/>
        </w:rPr>
        <w:t> </w:t>
      </w:r>
      <w:r>
        <w:rPr>
          <w:color w:val="231F20"/>
        </w:rPr>
        <w:t>PlusEnergieBau</w:t>
      </w:r>
      <w:r>
        <w:rPr>
          <w:color w:val="231F20"/>
          <w:spacing w:val="5"/>
        </w:rPr>
        <w:t> </w:t>
      </w:r>
      <w:r>
        <w:rPr>
          <w:color w:val="231F20"/>
        </w:rPr>
        <w:t>verwandelt</w:t>
      </w:r>
      <w:r>
        <w:rPr>
          <w:color w:val="231F20"/>
          <w:spacing w:val="5"/>
        </w:rPr>
        <w:t> </w:t>
      </w:r>
      <w:r>
        <w:rPr>
          <w:color w:val="231F20"/>
        </w:rPr>
        <w:t>worden.</w:t>
      </w:r>
      <w:r>
        <w:rPr>
          <w:color w:val="231F20"/>
          <w:spacing w:val="5"/>
        </w:rPr>
        <w:t> </w:t>
      </w:r>
      <w:r>
        <w:rPr>
          <w:color w:val="231F20"/>
        </w:rPr>
        <w:t>Der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Ge-</w:t>
      </w:r>
      <w:r>
        <w:rPr>
          <w:color w:val="231F20"/>
          <w:spacing w:val="23"/>
        </w:rPr>
        <w:t> </w:t>
      </w:r>
      <w:r>
        <w:rPr>
          <w:color w:val="231F20"/>
        </w:rPr>
        <w:t>samtenergiebedarf</w:t>
      </w:r>
      <w:r>
        <w:rPr>
          <w:color w:val="231F20"/>
          <w:spacing w:val="23"/>
        </w:rPr>
        <w:t> </w:t>
      </w:r>
      <w:r>
        <w:rPr>
          <w:color w:val="231F20"/>
        </w:rPr>
        <w:t>konnte</w:t>
      </w:r>
      <w:r>
        <w:rPr>
          <w:color w:val="231F20"/>
          <w:spacing w:val="23"/>
        </w:rPr>
        <w:t> </w:t>
      </w:r>
      <w:r>
        <w:rPr>
          <w:color w:val="231F20"/>
        </w:rPr>
        <w:t>von</w:t>
      </w:r>
      <w:r>
        <w:rPr>
          <w:color w:val="231F20"/>
          <w:spacing w:val="23"/>
        </w:rPr>
        <w:t> </w:t>
      </w:r>
      <w:r>
        <w:rPr>
          <w:color w:val="231F20"/>
        </w:rPr>
        <w:t>112’600</w:t>
      </w:r>
      <w:r>
        <w:rPr>
          <w:color w:val="231F20"/>
          <w:spacing w:val="23"/>
        </w:rPr>
        <w:t> </w:t>
      </w:r>
      <w:r>
        <w:rPr>
          <w:color w:val="231F20"/>
        </w:rPr>
        <w:t>kWh/a</w:t>
      </w:r>
      <w:r>
        <w:rPr>
          <w:color w:val="231F20"/>
          <w:spacing w:val="23"/>
        </w:rPr>
        <w:t> </w:t>
      </w:r>
      <w:r>
        <w:rPr>
          <w:color w:val="231F20"/>
        </w:rPr>
        <w:t>um</w:t>
      </w:r>
      <w:r>
        <w:rPr>
          <w:color w:val="231F20"/>
          <w:spacing w:val="23"/>
        </w:rPr>
        <w:t> </w:t>
      </w:r>
      <w:r>
        <w:rPr>
          <w:color w:val="231F20"/>
        </w:rPr>
        <w:t>80%</w:t>
      </w:r>
      <w:r>
        <w:rPr>
          <w:color w:val="231F20"/>
          <w:spacing w:val="23"/>
        </w:rPr>
        <w:t> </w:t>
      </w:r>
      <w:r>
        <w:rPr>
          <w:color w:val="231F20"/>
        </w:rPr>
        <w:t>auf</w:t>
      </w:r>
      <w:r>
        <w:rPr>
          <w:color w:val="231F20"/>
          <w:spacing w:val="23"/>
        </w:rPr>
        <w:t> </w:t>
      </w:r>
      <w:r>
        <w:rPr>
          <w:color w:val="231F20"/>
        </w:rPr>
        <w:t>22’300</w:t>
      </w:r>
      <w:r>
        <w:rPr>
          <w:color w:val="231F20"/>
          <w:spacing w:val="23"/>
        </w:rPr>
        <w:t> </w:t>
      </w:r>
      <w:r>
        <w:rPr>
          <w:color w:val="231F20"/>
        </w:rPr>
        <w:t>kWh/a</w:t>
      </w:r>
      <w:r>
        <w:rPr>
          <w:color w:val="231F20"/>
          <w:spacing w:val="23"/>
        </w:rPr>
        <w:t> </w:t>
      </w:r>
      <w:r>
        <w:rPr>
          <w:color w:val="231F20"/>
        </w:rPr>
        <w:t>gesenkt</w:t>
      </w:r>
      <w:r>
        <w:rPr>
          <w:color w:val="231F20"/>
          <w:spacing w:val="23"/>
        </w:rPr>
        <w:t> </w:t>
      </w:r>
      <w:r>
        <w:rPr>
          <w:color w:val="231F20"/>
        </w:rPr>
        <w:t>werden.</w:t>
      </w:r>
      <w:r>
        <w:rPr>
          <w:color w:val="231F20"/>
        </w:rPr>
        <w:t> Die</w:t>
      </w:r>
      <w:r>
        <w:rPr>
          <w:color w:val="231F20"/>
          <w:spacing w:val="3"/>
        </w:rPr>
        <w:t> </w:t>
      </w:r>
      <w:r>
        <w:rPr>
          <w:color w:val="231F20"/>
        </w:rPr>
        <w:t>315</w:t>
      </w:r>
      <w:r>
        <w:rPr>
          <w:color w:val="231F20"/>
          <w:spacing w:val="3"/>
        </w:rPr>
        <w:t> </w:t>
      </w:r>
      <w:r>
        <w:rPr>
          <w:color w:val="231F20"/>
        </w:rPr>
        <w:t>m</w:t>
      </w:r>
      <w:r>
        <w:rPr>
          <w:color w:val="231F20"/>
          <w:position w:val="6"/>
          <w:sz w:val="10"/>
          <w:szCs w:val="10"/>
        </w:rPr>
        <w:t>2</w:t>
      </w:r>
      <w:r>
        <w:rPr>
          <w:color w:val="231F20"/>
          <w:spacing w:val="3"/>
          <w:position w:val="6"/>
          <w:sz w:val="10"/>
          <w:szCs w:val="10"/>
        </w:rPr>
        <w:t> </w:t>
      </w:r>
      <w:r>
        <w:rPr>
          <w:color w:val="231F20"/>
        </w:rPr>
        <w:t>grosse</w:t>
      </w:r>
      <w:r>
        <w:rPr>
          <w:color w:val="231F20"/>
          <w:spacing w:val="3"/>
        </w:rPr>
        <w:t> </w:t>
      </w:r>
      <w:r>
        <w:rPr>
          <w:color w:val="231F20"/>
        </w:rPr>
        <w:t>40</w:t>
      </w:r>
      <w:r>
        <w:rPr>
          <w:color w:val="231F20"/>
          <w:spacing w:val="3"/>
        </w:rPr>
        <w:t> </w:t>
      </w:r>
      <w:r>
        <w:rPr>
          <w:color w:val="231F20"/>
        </w:rPr>
        <w:t>kW</w:t>
      </w:r>
      <w:r>
        <w:rPr>
          <w:color w:val="231F20"/>
          <w:spacing w:val="3"/>
        </w:rPr>
        <w:t> </w:t>
      </w:r>
      <w:r>
        <w:rPr>
          <w:color w:val="231F20"/>
        </w:rPr>
        <w:t>starke</w:t>
      </w:r>
      <w:r>
        <w:rPr>
          <w:color w:val="231F20"/>
          <w:spacing w:val="4"/>
        </w:rPr>
        <w:t> </w:t>
      </w:r>
      <w:r>
        <w:rPr>
          <w:color w:val="231F20"/>
        </w:rPr>
        <w:t>PV-Anlage</w:t>
      </w:r>
      <w:r>
        <w:rPr>
          <w:color w:val="231F20"/>
          <w:spacing w:val="3"/>
        </w:rPr>
        <w:t> </w:t>
      </w:r>
      <w:r>
        <w:rPr>
          <w:color w:val="231F20"/>
        </w:rPr>
        <w:t>erzeugt</w:t>
      </w:r>
      <w:r>
        <w:rPr>
          <w:color w:val="231F20"/>
          <w:spacing w:val="3"/>
        </w:rPr>
        <w:t> </w:t>
      </w:r>
      <w:r>
        <w:rPr>
          <w:color w:val="231F20"/>
        </w:rPr>
        <w:t>jährlich</w:t>
      </w:r>
      <w:r>
        <w:rPr>
          <w:color w:val="231F20"/>
          <w:spacing w:val="3"/>
        </w:rPr>
        <w:t> </w:t>
      </w:r>
      <w:r>
        <w:rPr>
          <w:color w:val="231F20"/>
        </w:rPr>
        <w:t>rund</w:t>
      </w:r>
      <w:r>
        <w:rPr>
          <w:color w:val="231F20"/>
          <w:spacing w:val="3"/>
        </w:rPr>
        <w:t> </w:t>
      </w:r>
      <w:r>
        <w:rPr>
          <w:color w:val="231F20"/>
        </w:rPr>
        <w:t>23’200</w:t>
      </w:r>
      <w:r>
        <w:rPr>
          <w:color w:val="231F20"/>
          <w:spacing w:val="3"/>
        </w:rPr>
        <w:t> </w:t>
      </w:r>
      <w:r>
        <w:rPr>
          <w:color w:val="231F20"/>
        </w:rPr>
        <w:t>kWh</w:t>
      </w:r>
      <w:r>
        <w:rPr>
          <w:color w:val="231F20"/>
          <w:spacing w:val="3"/>
        </w:rPr>
        <w:t> </w:t>
      </w:r>
      <w:r>
        <w:rPr>
          <w:color w:val="231F20"/>
        </w:rPr>
        <w:t>und</w:t>
      </w:r>
      <w:r>
        <w:rPr>
          <w:color w:val="231F20"/>
          <w:spacing w:val="4"/>
        </w:rPr>
        <w:t> </w:t>
      </w:r>
      <w:r>
        <w:rPr>
          <w:color w:val="231F20"/>
        </w:rPr>
        <w:t>wird</w:t>
      </w:r>
      <w:r>
        <w:rPr>
          <w:color w:val="231F20"/>
          <w:spacing w:val="3"/>
        </w:rPr>
        <w:t> </w:t>
      </w:r>
      <w:r>
        <w:rPr>
          <w:color w:val="231F20"/>
        </w:rPr>
        <w:t>seit</w:t>
      </w:r>
      <w:r>
        <w:rPr>
          <w:color w:val="231F20"/>
          <w:spacing w:val="3"/>
        </w:rPr>
        <w:t> </w:t>
      </w:r>
      <w:r>
        <w:rPr>
          <w:color w:val="231F20"/>
        </w:rPr>
        <w:t>Mai</w:t>
      </w:r>
      <w:r>
        <w:rPr>
          <w:color w:val="231F20"/>
        </w:rPr>
        <w:t> 2017</w:t>
      </w:r>
      <w:r>
        <w:rPr>
          <w:color w:val="231F20"/>
          <w:spacing w:val="3"/>
        </w:rPr>
        <w:t> </w:t>
      </w:r>
      <w:r>
        <w:rPr>
          <w:color w:val="231F20"/>
        </w:rPr>
        <w:t>mit</w:t>
      </w:r>
      <w:r>
        <w:rPr>
          <w:color w:val="231F20"/>
          <w:spacing w:val="3"/>
        </w:rPr>
        <w:t> </w:t>
      </w:r>
      <w:r>
        <w:rPr>
          <w:color w:val="231F20"/>
        </w:rPr>
        <w:t>einem</w:t>
      </w:r>
      <w:r>
        <w:rPr>
          <w:color w:val="231F20"/>
          <w:spacing w:val="3"/>
        </w:rPr>
        <w:t> </w:t>
      </w:r>
      <w:r>
        <w:rPr>
          <w:color w:val="231F20"/>
        </w:rPr>
        <w:t>Windrad</w:t>
      </w:r>
      <w:r>
        <w:rPr>
          <w:color w:val="231F20"/>
          <w:spacing w:val="3"/>
        </w:rPr>
        <w:t> </w:t>
      </w:r>
      <w:r>
        <w:rPr>
          <w:color w:val="231F20"/>
        </w:rPr>
        <w:t>und</w:t>
      </w:r>
      <w:r>
        <w:rPr>
          <w:color w:val="231F20"/>
          <w:spacing w:val="3"/>
        </w:rPr>
        <w:t> </w:t>
      </w:r>
      <w:r>
        <w:rPr>
          <w:color w:val="231F20"/>
        </w:rPr>
        <w:t>21</w:t>
      </w:r>
      <w:r>
        <w:rPr>
          <w:color w:val="231F20"/>
          <w:spacing w:val="3"/>
        </w:rPr>
        <w:t> </w:t>
      </w:r>
      <w:r>
        <w:rPr>
          <w:color w:val="231F20"/>
        </w:rPr>
        <w:t>kW</w:t>
      </w:r>
      <w:r>
        <w:rPr>
          <w:color w:val="231F20"/>
          <w:spacing w:val="3"/>
        </w:rPr>
        <w:t> </w:t>
      </w:r>
      <w:r>
        <w:rPr>
          <w:color w:val="231F20"/>
        </w:rPr>
        <w:t>Stromspeicher</w:t>
      </w:r>
      <w:r>
        <w:rPr>
          <w:color w:val="231F20"/>
          <w:spacing w:val="3"/>
        </w:rPr>
        <w:t> </w:t>
      </w:r>
      <w:r>
        <w:rPr>
          <w:color w:val="231F20"/>
        </w:rPr>
        <w:t>ergänzt.</w:t>
      </w:r>
      <w:r>
        <w:rPr>
          <w:color w:val="231F20"/>
          <w:spacing w:val="3"/>
        </w:rPr>
        <w:t> </w:t>
      </w:r>
      <w:r>
        <w:rPr>
          <w:color w:val="231F20"/>
        </w:rPr>
        <w:t>Der</w:t>
      </w:r>
      <w:r>
        <w:rPr>
          <w:color w:val="231F20"/>
          <w:spacing w:val="3"/>
        </w:rPr>
        <w:t> </w:t>
      </w:r>
      <w:r>
        <w:rPr>
          <w:color w:val="231F20"/>
        </w:rPr>
        <w:t>Bürobereich</w:t>
      </w:r>
      <w:r>
        <w:rPr>
          <w:color w:val="231F20"/>
          <w:spacing w:val="3"/>
        </w:rPr>
        <w:t> </w:t>
      </w:r>
      <w:r>
        <w:rPr>
          <w:color w:val="231F20"/>
        </w:rPr>
        <w:t>ist</w:t>
      </w:r>
      <w:r>
        <w:rPr>
          <w:color w:val="231F20"/>
          <w:spacing w:val="3"/>
        </w:rPr>
        <w:t> </w:t>
      </w:r>
      <w:r>
        <w:rPr>
          <w:color w:val="231F20"/>
        </w:rPr>
        <w:t>nicht</w:t>
      </w:r>
      <w:r>
        <w:rPr>
          <w:color w:val="231F20"/>
          <w:spacing w:val="3"/>
        </w:rPr>
        <w:t> </w:t>
      </w:r>
      <w:r>
        <w:rPr>
          <w:color w:val="231F20"/>
        </w:rPr>
        <w:t>mehr</w:t>
      </w:r>
      <w:r>
        <w:rPr>
          <w:color w:val="231F20"/>
          <w:spacing w:val="3"/>
        </w:rPr>
        <w:t> </w:t>
      </w:r>
      <w:r>
        <w:rPr>
          <w:color w:val="231F20"/>
        </w:rPr>
        <w:t>an</w:t>
      </w:r>
      <w:r>
        <w:rPr>
          <w:color w:val="231F20"/>
        </w:rPr>
        <w:t> das</w:t>
      </w:r>
      <w:r>
        <w:rPr>
          <w:color w:val="231F20"/>
          <w:spacing w:val="-1"/>
        </w:rPr>
        <w:t> </w:t>
      </w:r>
      <w:r>
        <w:rPr>
          <w:color w:val="231F20"/>
        </w:rPr>
        <w:t>Stromnetz</w:t>
      </w:r>
      <w:r>
        <w:rPr>
          <w:color w:val="231F20"/>
          <w:spacing w:val="-1"/>
        </w:rPr>
        <w:t> </w:t>
      </w:r>
      <w:r>
        <w:rPr>
          <w:color w:val="231F20"/>
        </w:rPr>
        <w:t>angehängt</w:t>
      </w:r>
      <w:r>
        <w:rPr>
          <w:color w:val="231F20"/>
          <w:spacing w:val="-1"/>
        </w:rPr>
        <w:t> </w:t>
      </w:r>
      <w:r>
        <w:rPr>
          <w:color w:val="231F20"/>
        </w:rPr>
        <w:t>und</w:t>
      </w:r>
      <w:r>
        <w:rPr>
          <w:color w:val="231F20"/>
          <w:spacing w:val="-1"/>
        </w:rPr>
        <w:t> </w:t>
      </w:r>
      <w:r>
        <w:rPr>
          <w:color w:val="231F20"/>
        </w:rPr>
        <w:t>damit energieautark.</w:t>
      </w:r>
      <w:r>
        <w:rPr>
          <w:color w:val="231F20"/>
          <w:spacing w:val="-1"/>
        </w:rPr>
        <w:t> </w:t>
      </w:r>
      <w:r>
        <w:rPr>
          <w:color w:val="231F20"/>
        </w:rPr>
        <w:t>Die</w:t>
      </w:r>
      <w:r>
        <w:rPr>
          <w:color w:val="231F20"/>
          <w:spacing w:val="-1"/>
        </w:rPr>
        <w:t> </w:t>
      </w:r>
      <w:r>
        <w:rPr>
          <w:color w:val="231F20"/>
        </w:rPr>
        <w:t>67</w:t>
      </w:r>
      <w:r>
        <w:rPr>
          <w:color w:val="231F20"/>
          <w:spacing w:val="-1"/>
        </w:rPr>
        <w:t> </w:t>
      </w:r>
      <w:r>
        <w:rPr>
          <w:color w:val="231F20"/>
        </w:rPr>
        <w:t>m</w:t>
      </w:r>
      <w:r>
        <w:rPr>
          <w:color w:val="231F20"/>
          <w:position w:val="6"/>
          <w:sz w:val="10"/>
          <w:szCs w:val="10"/>
        </w:rPr>
        <w:t>2</w:t>
      </w:r>
      <w:r>
        <w:rPr>
          <w:color w:val="231F20"/>
          <w:spacing w:val="19"/>
          <w:position w:val="6"/>
          <w:sz w:val="10"/>
          <w:szCs w:val="10"/>
        </w:rPr>
        <w:t> </w:t>
      </w:r>
      <w:r>
        <w:rPr>
          <w:color w:val="231F20"/>
          <w:spacing w:val="-1"/>
        </w:rPr>
        <w:t>Hybridkollektoren</w:t>
      </w:r>
      <w:r>
        <w:rPr>
          <w:color w:val="231F20"/>
        </w:rPr>
        <w:t> </w:t>
      </w:r>
      <w:r>
        <w:rPr>
          <w:color w:val="231F20"/>
          <w:spacing w:val="-1"/>
        </w:rPr>
        <w:t>liefern </w:t>
      </w:r>
      <w:r>
        <w:rPr>
          <w:color w:val="231F20"/>
        </w:rPr>
        <w:t>11’700</w:t>
      </w:r>
      <w:r>
        <w:rPr>
          <w:color w:val="231F20"/>
          <w:spacing w:val="31"/>
        </w:rPr>
        <w:t> </w:t>
      </w:r>
      <w:r>
        <w:rPr>
          <w:color w:val="231F20"/>
        </w:rPr>
        <w:t>kWh/a</w:t>
      </w:r>
      <w:r>
        <w:rPr>
          <w:color w:val="231F20"/>
          <w:spacing w:val="7"/>
        </w:rPr>
        <w:t> </w:t>
      </w:r>
      <w:r>
        <w:rPr>
          <w:color w:val="231F20"/>
        </w:rPr>
        <w:t>thermische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Energie.</w:t>
      </w:r>
      <w:r>
        <w:rPr>
          <w:color w:val="231F20"/>
          <w:spacing w:val="7"/>
        </w:rPr>
        <w:t> </w:t>
      </w:r>
      <w:r>
        <w:rPr>
          <w:color w:val="231F20"/>
        </w:rPr>
        <w:t>Insgesamt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produzieren</w:t>
      </w:r>
      <w:r>
        <w:rPr>
          <w:color w:val="231F20"/>
          <w:spacing w:val="7"/>
        </w:rPr>
        <w:t> </w:t>
      </w:r>
      <w:r>
        <w:rPr>
          <w:color w:val="231F20"/>
        </w:rPr>
        <w:t>die</w:t>
      </w:r>
      <w:r>
        <w:rPr>
          <w:color w:val="231F20"/>
          <w:spacing w:val="7"/>
        </w:rPr>
        <w:t> </w:t>
      </w:r>
      <w:r>
        <w:rPr>
          <w:color w:val="231F20"/>
        </w:rPr>
        <w:t>Solaranlagen</w:t>
      </w:r>
      <w:r>
        <w:rPr>
          <w:color w:val="231F20"/>
          <w:spacing w:val="7"/>
        </w:rPr>
        <w:t> </w:t>
      </w:r>
      <w:r>
        <w:rPr>
          <w:color w:val="231F20"/>
        </w:rPr>
        <w:t>34’900</w:t>
      </w:r>
      <w:r>
        <w:rPr>
          <w:color w:val="231F20"/>
          <w:spacing w:val="7"/>
        </w:rPr>
        <w:t> </w:t>
      </w:r>
      <w:r>
        <w:rPr>
          <w:color w:val="231F20"/>
        </w:rPr>
        <w:t>kWh/a,</w:t>
      </w:r>
      <w:r>
        <w:rPr>
          <w:color w:val="231F20"/>
          <w:spacing w:val="7"/>
        </w:rPr>
        <w:t> </w:t>
      </w:r>
      <w:r>
        <w:rPr>
          <w:color w:val="231F20"/>
        </w:rPr>
        <w:t>was</w:t>
      </w:r>
      <w:r>
        <w:rPr>
          <w:color w:val="231F20"/>
          <w:spacing w:val="7"/>
        </w:rPr>
        <w:t> </w:t>
      </w:r>
      <w:r>
        <w:rPr>
          <w:color w:val="231F20"/>
        </w:rPr>
        <w:t>einer</w:t>
      </w:r>
      <w:r>
        <w:rPr>
          <w:color w:val="231F20"/>
          <w:spacing w:val="34"/>
        </w:rPr>
        <w:t> </w:t>
      </w:r>
      <w:r>
        <w:rPr>
          <w:color w:val="231F20"/>
        </w:rPr>
        <w:t>Eigenenergieversorgung von 156% entspricht.</w:t>
      </w:r>
      <w:r>
        <w:rPr>
          <w:b w:val="0"/>
          <w:bCs w:val="0"/>
        </w:rPr>
      </w:r>
    </w:p>
    <w:p>
      <w:pPr>
        <w:spacing w:after="0" w:line="230" w:lineRule="exact"/>
        <w:jc w:val="both"/>
        <w:sectPr>
          <w:type w:val="continuous"/>
          <w:pgSz w:w="11910" w:h="16840"/>
          <w:pgMar w:top="840" w:bottom="280" w:left="460" w:right="740"/>
          <w:cols w:num="2" w:equalWidth="0">
            <w:col w:w="2547" w:space="132"/>
            <w:col w:w="803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7"/>
        <w:rPr>
          <w:rFonts w:ascii="Theinhardt Bold" w:hAnsi="Theinhardt Bold" w:cs="Theinhardt Bold" w:eastAsia="Theinhardt Bold"/>
          <w:b/>
          <w:bCs/>
          <w:sz w:val="23"/>
          <w:szCs w:val="23"/>
        </w:rPr>
      </w:pPr>
    </w:p>
    <w:p>
      <w:pPr>
        <w:spacing w:before="5"/>
        <w:ind w:left="106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 w:hAnsi="Theinhardt Black" w:cs="Theinhardt Black" w:eastAsia="Theinhardt Black"/>
          <w:b/>
          <w:bCs/>
          <w:color w:val="0067B1"/>
          <w:sz w:val="40"/>
          <w:szCs w:val="40"/>
        </w:rPr>
        <w:t>156%-PEB Caotec – Haustechnik, 7743 Brusio/GR</w:t>
      </w:r>
      <w:r>
        <w:rPr>
          <w:rFonts w:ascii="Theinhardt Black" w:hAnsi="Theinhardt Black" w:cs="Theinhardt Black" w:eastAsia="Theinhardt Black"/>
          <w:sz w:val="40"/>
          <w:szCs w:val="40"/>
        </w:rPr>
      </w:r>
    </w:p>
    <w:p>
      <w:pPr>
        <w:spacing w:line="240" w:lineRule="auto" w:before="11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1910" w:h="16840"/>
          <w:pgMar w:top="840" w:bottom="280" w:left="460" w:right="740"/>
        </w:sectPr>
      </w:pPr>
    </w:p>
    <w:p>
      <w:pPr>
        <w:pStyle w:val="BodyText"/>
        <w:spacing w:line="230" w:lineRule="exact" w:before="52"/>
        <w:ind w:right="0" w:firstLine="0"/>
        <w:jc w:val="both"/>
      </w:pPr>
      <w:r>
        <w:rPr>
          <w:color w:val="231F20"/>
        </w:rPr>
        <w:t>Im</w:t>
      </w:r>
      <w:r>
        <w:rPr>
          <w:color w:val="231F20"/>
          <w:spacing w:val="14"/>
        </w:rPr>
        <w:t> </w:t>
      </w:r>
      <w:r>
        <w:rPr>
          <w:color w:val="231F20"/>
        </w:rPr>
        <w:t>Rahmen</w:t>
      </w:r>
      <w:r>
        <w:rPr>
          <w:color w:val="231F20"/>
          <w:spacing w:val="14"/>
        </w:rPr>
        <w:t> </w:t>
      </w:r>
      <w:r>
        <w:rPr>
          <w:color w:val="231F20"/>
        </w:rPr>
        <w:t>einer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Gesamtrenovation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wurde</w:t>
      </w:r>
      <w:r>
        <w:rPr>
          <w:color w:val="231F20"/>
          <w:spacing w:val="30"/>
        </w:rPr>
        <w:t> </w:t>
      </w:r>
      <w:r>
        <w:rPr>
          <w:color w:val="231F20"/>
        </w:rPr>
        <w:t>das Firmengebäude der Caotec – </w:t>
      </w:r>
      <w:r>
        <w:rPr>
          <w:color w:val="231F20"/>
          <w:spacing w:val="-1"/>
        </w:rPr>
        <w:t>Haus-</w:t>
      </w:r>
      <w:r>
        <w:rPr>
          <w:color w:val="231F20"/>
          <w:spacing w:val="24"/>
        </w:rPr>
        <w:t> </w:t>
      </w:r>
      <w:r>
        <w:rPr>
          <w:color w:val="231F20"/>
        </w:rPr>
        <w:t>technik</w:t>
      </w:r>
      <w:r>
        <w:rPr>
          <w:color w:val="231F20"/>
          <w:spacing w:val="44"/>
        </w:rPr>
        <w:t> </w:t>
      </w:r>
      <w:r>
        <w:rPr>
          <w:color w:val="231F20"/>
        </w:rPr>
        <w:t>zum</w:t>
      </w:r>
      <w:r>
        <w:rPr>
          <w:color w:val="231F20"/>
          <w:spacing w:val="45"/>
        </w:rPr>
        <w:t> </w:t>
      </w:r>
      <w:r>
        <w:rPr>
          <w:color w:val="231F20"/>
        </w:rPr>
        <w:t>PlusEnergieBau</w:t>
      </w:r>
      <w:r>
        <w:rPr>
          <w:color w:val="231F20"/>
          <w:spacing w:val="44"/>
        </w:rPr>
        <w:t> </w:t>
      </w:r>
      <w:r>
        <w:rPr>
          <w:color w:val="231F20"/>
        </w:rPr>
        <w:t>umgebaut.</w:t>
      </w:r>
      <w:r>
        <w:rPr>
          <w:color w:val="231F20"/>
        </w:rPr>
        <w:t> Der</w:t>
      </w:r>
      <w:r>
        <w:rPr>
          <w:color w:val="231F20"/>
          <w:spacing w:val="-11"/>
        </w:rPr>
        <w:t> </w:t>
      </w:r>
      <w:r>
        <w:rPr>
          <w:color w:val="231F20"/>
        </w:rPr>
        <w:t>Energiebedarf</w:t>
      </w:r>
      <w:r>
        <w:rPr>
          <w:color w:val="231F20"/>
          <w:spacing w:val="-11"/>
        </w:rPr>
        <w:t> </w:t>
      </w:r>
      <w:r>
        <w:rPr>
          <w:color w:val="231F20"/>
        </w:rPr>
        <w:t>vor</w:t>
      </w:r>
      <w:r>
        <w:rPr>
          <w:color w:val="231F20"/>
          <w:spacing w:val="-11"/>
        </w:rPr>
        <w:t> </w:t>
      </w:r>
      <w:r>
        <w:rPr>
          <w:color w:val="231F20"/>
        </w:rPr>
        <w:t>der</w:t>
      </w:r>
      <w:r>
        <w:rPr>
          <w:color w:val="231F20"/>
          <w:spacing w:val="-11"/>
        </w:rPr>
        <w:t> </w:t>
      </w:r>
      <w:r>
        <w:rPr>
          <w:color w:val="231F20"/>
        </w:rPr>
        <w:t>Sanierung</w:t>
      </w:r>
      <w:r>
        <w:rPr>
          <w:color w:val="231F20"/>
          <w:spacing w:val="-11"/>
        </w:rPr>
        <w:t> </w:t>
      </w:r>
      <w:r>
        <w:rPr>
          <w:color w:val="231F20"/>
        </w:rPr>
        <w:t>lag</w:t>
      </w:r>
      <w:r>
        <w:rPr>
          <w:color w:val="231F20"/>
          <w:spacing w:val="-11"/>
        </w:rPr>
        <w:t> </w:t>
      </w:r>
      <w:r>
        <w:rPr>
          <w:color w:val="231F20"/>
        </w:rPr>
        <w:t>bei</w:t>
      </w:r>
      <w:r>
        <w:rPr>
          <w:color w:val="231F20"/>
        </w:rPr>
        <w:t> 112’600</w:t>
      </w:r>
      <w:r>
        <w:rPr>
          <w:color w:val="231F20"/>
          <w:spacing w:val="3"/>
        </w:rPr>
        <w:t> </w:t>
      </w:r>
      <w:r>
        <w:rPr>
          <w:color w:val="231F20"/>
        </w:rPr>
        <w:t>kWh/a.</w:t>
      </w:r>
      <w:r>
        <w:rPr>
          <w:color w:val="231F20"/>
          <w:spacing w:val="3"/>
        </w:rPr>
        <w:t> </w:t>
      </w:r>
      <w:r>
        <w:rPr>
          <w:color w:val="231F20"/>
        </w:rPr>
        <w:t>Dank</w:t>
      </w:r>
      <w:r>
        <w:rPr>
          <w:color w:val="231F20"/>
          <w:spacing w:val="3"/>
        </w:rPr>
        <w:t> </w:t>
      </w:r>
      <w:r>
        <w:rPr>
          <w:color w:val="231F20"/>
        </w:rPr>
        <w:t>der</w:t>
      </w:r>
      <w:r>
        <w:rPr>
          <w:color w:val="231F20"/>
          <w:spacing w:val="3"/>
        </w:rPr>
        <w:t> </w:t>
      </w:r>
      <w:r>
        <w:rPr>
          <w:color w:val="231F20"/>
        </w:rPr>
        <w:t>sehr</w:t>
      </w:r>
      <w:r>
        <w:rPr>
          <w:color w:val="231F20"/>
          <w:spacing w:val="3"/>
        </w:rPr>
        <w:t> </w:t>
      </w:r>
      <w:r>
        <w:rPr>
          <w:color w:val="231F20"/>
        </w:rPr>
        <w:t>guten</w:t>
      </w:r>
      <w:r>
        <w:rPr>
          <w:color w:val="231F20"/>
          <w:spacing w:val="3"/>
        </w:rPr>
        <w:t> </w:t>
      </w:r>
      <w:r>
        <w:rPr>
          <w:color w:val="231F20"/>
        </w:rPr>
        <w:t>Wär-</w:t>
      </w:r>
      <w:r>
        <w:rPr>
          <w:color w:val="231F20"/>
        </w:rPr>
        <w:t> medämmung</w:t>
      </w:r>
      <w:r>
        <w:rPr>
          <w:color w:val="231F20"/>
          <w:spacing w:val="11"/>
        </w:rPr>
        <w:t> </w:t>
      </w:r>
      <w:r>
        <w:rPr>
          <w:color w:val="231F20"/>
        </w:rPr>
        <w:t>von</w:t>
      </w:r>
      <w:r>
        <w:rPr>
          <w:color w:val="231F20"/>
          <w:spacing w:val="11"/>
        </w:rPr>
        <w:t> </w:t>
      </w:r>
      <w:r>
        <w:rPr>
          <w:color w:val="231F20"/>
        </w:rPr>
        <w:t>32</w:t>
      </w:r>
      <w:r>
        <w:rPr>
          <w:color w:val="231F20"/>
          <w:spacing w:val="11"/>
        </w:rPr>
        <w:t> </w:t>
      </w:r>
      <w:r>
        <w:rPr>
          <w:color w:val="231F20"/>
        </w:rPr>
        <w:t>cm</w:t>
      </w:r>
      <w:r>
        <w:rPr>
          <w:color w:val="231F20"/>
          <w:spacing w:val="11"/>
        </w:rPr>
        <w:t> </w:t>
      </w:r>
      <w:r>
        <w:rPr>
          <w:color w:val="231F20"/>
        </w:rPr>
        <w:t>mit</w:t>
      </w:r>
      <w:r>
        <w:rPr>
          <w:color w:val="231F20"/>
          <w:spacing w:val="11"/>
        </w:rPr>
        <w:t> </w:t>
      </w:r>
      <w:r>
        <w:rPr>
          <w:color w:val="231F20"/>
        </w:rPr>
        <w:t>U-Werten</w:t>
      </w:r>
      <w:r>
        <w:rPr>
          <w:color w:val="231F20"/>
          <w:spacing w:val="11"/>
        </w:rPr>
        <w:t> </w:t>
      </w:r>
      <w:r>
        <w:rPr>
          <w:color w:val="231F20"/>
        </w:rPr>
        <w:t>von</w:t>
      </w:r>
      <w:r>
        <w:rPr/>
      </w:r>
    </w:p>
    <w:p>
      <w:pPr>
        <w:pStyle w:val="BodyText"/>
        <w:spacing w:line="230" w:lineRule="exact"/>
        <w:ind w:right="8" w:hanging="1"/>
        <w:jc w:val="both"/>
      </w:pPr>
      <w:r>
        <w:rPr>
          <w:color w:val="231F20"/>
        </w:rPr>
        <w:t>0.09 W/m</w:t>
      </w:r>
      <w:r>
        <w:rPr>
          <w:color w:val="231F20"/>
          <w:position w:val="6"/>
          <w:sz w:val="10"/>
          <w:szCs w:val="10"/>
        </w:rPr>
        <w:t>2</w:t>
      </w:r>
      <w:r>
        <w:rPr>
          <w:color w:val="231F20"/>
        </w:rPr>
        <w:t>K und</w:t>
      </w:r>
      <w:r>
        <w:rPr>
          <w:color w:val="231F20"/>
          <w:spacing w:val="1"/>
        </w:rPr>
        <w:t> </w:t>
      </w:r>
      <w:r>
        <w:rPr>
          <w:color w:val="231F20"/>
        </w:rPr>
        <w:t>den Haushaltsgeräten</w:t>
      </w:r>
      <w:r>
        <w:rPr>
          <w:color w:val="231F20"/>
          <w:spacing w:val="1"/>
        </w:rPr>
        <w:t> </w:t>
      </w:r>
      <w:r>
        <w:rPr>
          <w:color w:val="231F20"/>
        </w:rPr>
        <w:t>mit</w:t>
      </w:r>
      <w:r>
        <w:rPr>
          <w:color w:val="231F20"/>
        </w:rPr>
        <w:t> A+++</w:t>
      </w:r>
      <w:r>
        <w:rPr>
          <w:color w:val="231F20"/>
          <w:spacing w:val="21"/>
        </w:rPr>
        <w:t> </w:t>
      </w:r>
      <w:r>
        <w:rPr>
          <w:color w:val="231F20"/>
        </w:rPr>
        <w:t>(20%)</w:t>
      </w:r>
      <w:r>
        <w:rPr>
          <w:color w:val="231F20"/>
          <w:spacing w:val="21"/>
        </w:rPr>
        <w:t> </w:t>
      </w:r>
      <w:r>
        <w:rPr>
          <w:color w:val="231F20"/>
        </w:rPr>
        <w:t>resp.</w:t>
      </w:r>
      <w:r>
        <w:rPr>
          <w:color w:val="231F20"/>
          <w:spacing w:val="21"/>
        </w:rPr>
        <w:t> </w:t>
      </w:r>
      <w:r>
        <w:rPr>
          <w:color w:val="231F20"/>
        </w:rPr>
        <w:t>A+</w:t>
      </w:r>
      <w:r>
        <w:rPr>
          <w:color w:val="231F20"/>
          <w:spacing w:val="21"/>
        </w:rPr>
        <w:t> </w:t>
      </w:r>
      <w:r>
        <w:rPr>
          <w:color w:val="231F20"/>
        </w:rPr>
        <w:t>(50%)</w:t>
      </w:r>
      <w:r>
        <w:rPr>
          <w:color w:val="231F20"/>
          <w:spacing w:val="21"/>
        </w:rPr>
        <w:t> </w:t>
      </w:r>
      <w:r>
        <w:rPr>
          <w:color w:val="231F20"/>
        </w:rPr>
        <w:t>sowie</w:t>
      </w:r>
      <w:r>
        <w:rPr>
          <w:color w:val="231F20"/>
          <w:spacing w:val="21"/>
        </w:rPr>
        <w:t> </w:t>
      </w:r>
      <w:r>
        <w:rPr>
          <w:color w:val="231F20"/>
        </w:rPr>
        <w:t>LED-</w:t>
      </w:r>
      <w:r>
        <w:rPr>
          <w:color w:val="231F20"/>
        </w:rPr>
        <w:t> Lampen</w:t>
      </w:r>
      <w:r>
        <w:rPr>
          <w:color w:val="231F20"/>
          <w:spacing w:val="38"/>
        </w:rPr>
        <w:t> </w:t>
      </w:r>
      <w:r>
        <w:rPr>
          <w:color w:val="231F20"/>
        </w:rPr>
        <w:t>konnte</w:t>
      </w:r>
      <w:r>
        <w:rPr>
          <w:color w:val="231F20"/>
          <w:spacing w:val="39"/>
        </w:rPr>
        <w:t> </w:t>
      </w:r>
      <w:r>
        <w:rPr>
          <w:color w:val="231F20"/>
        </w:rPr>
        <w:t>der</w:t>
      </w:r>
      <w:r>
        <w:rPr>
          <w:color w:val="231F20"/>
          <w:spacing w:val="38"/>
        </w:rPr>
        <w:t> </w:t>
      </w:r>
      <w:r>
        <w:rPr>
          <w:color w:val="231F20"/>
        </w:rPr>
        <w:t>Gesamtenergiebedarf</w:t>
      </w:r>
      <w:r>
        <w:rPr>
          <w:color w:val="231F20"/>
        </w:rPr>
        <w:t> inkl.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Elektroauto</w:t>
      </w:r>
      <w:r>
        <w:rPr>
          <w:color w:val="231F20"/>
          <w:spacing w:val="34"/>
        </w:rPr>
        <w:t> </w:t>
      </w:r>
      <w:r>
        <w:rPr>
          <w:color w:val="231F20"/>
        </w:rPr>
        <w:t>auf</w:t>
      </w:r>
      <w:r>
        <w:rPr>
          <w:color w:val="231F20"/>
          <w:spacing w:val="33"/>
        </w:rPr>
        <w:t> </w:t>
      </w:r>
      <w:r>
        <w:rPr>
          <w:color w:val="231F20"/>
        </w:rPr>
        <w:t>22’300</w:t>
      </w:r>
      <w:r>
        <w:rPr>
          <w:color w:val="231F20"/>
          <w:spacing w:val="34"/>
        </w:rPr>
        <w:t> </w:t>
      </w:r>
      <w:r>
        <w:rPr>
          <w:color w:val="231F20"/>
        </w:rPr>
        <w:t>kWh/a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redu-</w:t>
      </w:r>
      <w:r>
        <w:rPr>
          <w:color w:val="231F20"/>
          <w:spacing w:val="20"/>
        </w:rPr>
        <w:t> </w:t>
      </w:r>
      <w:r>
        <w:rPr>
          <w:color w:val="231F20"/>
        </w:rPr>
        <w:t>ziert werden.</w:t>
      </w:r>
      <w:r>
        <w:rPr/>
      </w:r>
    </w:p>
    <w:p>
      <w:pPr>
        <w:pStyle w:val="BodyText"/>
        <w:spacing w:line="230" w:lineRule="exact"/>
        <w:ind w:right="8"/>
        <w:jc w:val="both"/>
      </w:pPr>
      <w:r>
        <w:rPr>
          <w:color w:val="231F20"/>
        </w:rPr>
        <w:t>Die</w:t>
      </w:r>
      <w:r>
        <w:rPr>
          <w:color w:val="231F20"/>
          <w:spacing w:val="37"/>
        </w:rPr>
        <w:t> </w:t>
      </w:r>
      <w:r>
        <w:rPr>
          <w:color w:val="231F20"/>
        </w:rPr>
        <w:t>315</w:t>
      </w:r>
      <w:r>
        <w:rPr>
          <w:color w:val="231F20"/>
          <w:spacing w:val="38"/>
        </w:rPr>
        <w:t> </w:t>
      </w:r>
      <w:r>
        <w:rPr>
          <w:color w:val="231F20"/>
        </w:rPr>
        <w:t>m</w:t>
      </w:r>
      <w:r>
        <w:rPr>
          <w:color w:val="231F20"/>
          <w:position w:val="6"/>
          <w:sz w:val="10"/>
          <w:szCs w:val="10"/>
        </w:rPr>
        <w:t>2</w:t>
      </w:r>
      <w:r>
        <w:rPr>
          <w:color w:val="231F20"/>
          <w:spacing w:val="6"/>
          <w:position w:val="6"/>
          <w:sz w:val="10"/>
          <w:szCs w:val="10"/>
        </w:rPr>
        <w:t> </w:t>
      </w:r>
      <w:r>
        <w:rPr>
          <w:color w:val="231F20"/>
        </w:rPr>
        <w:t>grosse</w:t>
      </w:r>
      <w:r>
        <w:rPr>
          <w:color w:val="231F20"/>
          <w:spacing w:val="38"/>
        </w:rPr>
        <w:t> </w:t>
      </w:r>
      <w:r>
        <w:rPr>
          <w:color w:val="231F20"/>
        </w:rPr>
        <w:t>und</w:t>
      </w:r>
      <w:r>
        <w:rPr>
          <w:color w:val="231F20"/>
          <w:spacing w:val="38"/>
        </w:rPr>
        <w:t> </w:t>
      </w:r>
      <w:r>
        <w:rPr>
          <w:color w:val="231F20"/>
        </w:rPr>
        <w:t>40</w:t>
      </w:r>
      <w:r>
        <w:rPr>
          <w:color w:val="231F20"/>
          <w:spacing w:val="38"/>
        </w:rPr>
        <w:t> </w:t>
      </w:r>
      <w:r>
        <w:rPr>
          <w:color w:val="231F20"/>
        </w:rPr>
        <w:t>kW</w:t>
      </w:r>
      <w:r>
        <w:rPr>
          <w:color w:val="231F20"/>
          <w:spacing w:val="37"/>
        </w:rPr>
        <w:t> </w:t>
      </w:r>
      <w:r>
        <w:rPr>
          <w:color w:val="231F20"/>
        </w:rPr>
        <w:t>starke</w:t>
      </w:r>
      <w:r>
        <w:rPr>
          <w:color w:val="231F20"/>
        </w:rPr>
        <w:t> PV-Anlage</w:t>
      </w:r>
      <w:r>
        <w:rPr>
          <w:color w:val="231F20"/>
          <w:spacing w:val="43"/>
        </w:rPr>
        <w:t> </w:t>
      </w:r>
      <w:r>
        <w:rPr>
          <w:color w:val="231F20"/>
        </w:rPr>
        <w:t>erzeugt</w:t>
      </w:r>
      <w:r>
        <w:rPr>
          <w:color w:val="231F20"/>
          <w:spacing w:val="44"/>
        </w:rPr>
        <w:t> </w:t>
      </w:r>
      <w:r>
        <w:rPr>
          <w:color w:val="231F20"/>
        </w:rPr>
        <w:t>23’200</w:t>
      </w:r>
      <w:r>
        <w:rPr>
          <w:color w:val="231F20"/>
          <w:spacing w:val="43"/>
        </w:rPr>
        <w:t> </w:t>
      </w:r>
      <w:r>
        <w:rPr>
          <w:color w:val="231F20"/>
        </w:rPr>
        <w:t>kWh/a</w:t>
      </w:r>
      <w:r>
        <w:rPr>
          <w:color w:val="231F20"/>
          <w:spacing w:val="44"/>
        </w:rPr>
        <w:t> </w:t>
      </w:r>
      <w:r>
        <w:rPr>
          <w:color w:val="231F20"/>
        </w:rPr>
        <w:t>Strom.</w:t>
      </w:r>
      <w:r>
        <w:rPr>
          <w:color w:val="231F20"/>
        </w:rPr>
        <w:t> Die</w:t>
      </w:r>
      <w:r>
        <w:rPr>
          <w:color w:val="231F20"/>
          <w:spacing w:val="23"/>
        </w:rPr>
        <w:t> </w:t>
      </w:r>
      <w:r>
        <w:rPr>
          <w:color w:val="231F20"/>
        </w:rPr>
        <w:t>thermischen</w:t>
      </w:r>
      <w:r>
        <w:rPr>
          <w:color w:val="231F20"/>
          <w:spacing w:val="23"/>
        </w:rPr>
        <w:t> </w:t>
      </w:r>
      <w:r>
        <w:rPr>
          <w:color w:val="231F20"/>
        </w:rPr>
        <w:t>Sonnenkollektoren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liefern</w:t>
      </w:r>
      <w:r>
        <w:rPr>
          <w:color w:val="231F20"/>
          <w:spacing w:val="25"/>
        </w:rPr>
        <w:t> </w:t>
      </w:r>
      <w:r>
        <w:rPr>
          <w:color w:val="231F20"/>
        </w:rPr>
        <w:t>11’700</w:t>
      </w:r>
      <w:r>
        <w:rPr>
          <w:color w:val="231F20"/>
          <w:spacing w:val="18"/>
        </w:rPr>
        <w:t> </w:t>
      </w:r>
      <w:r>
        <w:rPr>
          <w:color w:val="231F20"/>
        </w:rPr>
        <w:t>kWh/a,</w:t>
      </w:r>
      <w:r>
        <w:rPr>
          <w:color w:val="231F20"/>
          <w:spacing w:val="18"/>
        </w:rPr>
        <w:t> </w:t>
      </w:r>
      <w:r>
        <w:rPr>
          <w:color w:val="231F20"/>
        </w:rPr>
        <w:t>die</w:t>
      </w:r>
      <w:r>
        <w:rPr>
          <w:color w:val="231F20"/>
          <w:spacing w:val="18"/>
        </w:rPr>
        <w:t> </w:t>
      </w:r>
      <w:r>
        <w:rPr>
          <w:color w:val="231F20"/>
        </w:rPr>
        <w:t>zu</w:t>
      </w:r>
      <w:r>
        <w:rPr>
          <w:color w:val="231F20"/>
          <w:spacing w:val="18"/>
        </w:rPr>
        <w:t> </w:t>
      </w:r>
      <w:r>
        <w:rPr>
          <w:color w:val="231F20"/>
        </w:rPr>
        <w:t>100%</w:t>
      </w:r>
      <w:r>
        <w:rPr>
          <w:color w:val="231F20"/>
          <w:spacing w:val="18"/>
        </w:rPr>
        <w:t> </w:t>
      </w:r>
      <w:r>
        <w:rPr>
          <w:color w:val="231F20"/>
        </w:rPr>
        <w:t>genutzt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wer-</w:t>
      </w:r>
      <w:r>
        <w:rPr>
          <w:color w:val="231F20"/>
          <w:spacing w:val="23"/>
        </w:rPr>
        <w:t> </w:t>
      </w:r>
      <w:r>
        <w:rPr>
          <w:color w:val="231F20"/>
        </w:rPr>
        <w:t>den.</w:t>
      </w:r>
      <w:r>
        <w:rPr/>
      </w:r>
    </w:p>
    <w:p>
      <w:pPr>
        <w:pStyle w:val="BodyText"/>
        <w:spacing w:line="230" w:lineRule="exact"/>
        <w:ind w:right="8"/>
        <w:jc w:val="both"/>
      </w:pPr>
      <w:r>
        <w:rPr>
          <w:color w:val="231F20"/>
        </w:rPr>
        <w:t>In</w:t>
      </w:r>
      <w:r>
        <w:rPr>
          <w:color w:val="231F20"/>
          <w:spacing w:val="43"/>
        </w:rPr>
        <w:t> </w:t>
      </w:r>
      <w:r>
        <w:rPr>
          <w:color w:val="231F20"/>
        </w:rPr>
        <w:t>Kombination</w:t>
      </w:r>
      <w:r>
        <w:rPr>
          <w:color w:val="231F20"/>
          <w:spacing w:val="44"/>
        </w:rPr>
        <w:t> </w:t>
      </w:r>
      <w:r>
        <w:rPr>
          <w:color w:val="231F20"/>
        </w:rPr>
        <w:t>mit</w:t>
      </w:r>
      <w:r>
        <w:rPr>
          <w:color w:val="231F20"/>
          <w:spacing w:val="43"/>
        </w:rPr>
        <w:t> </w:t>
      </w:r>
      <w:r>
        <w:rPr>
          <w:color w:val="231F20"/>
        </w:rPr>
        <w:t>dem</w:t>
      </w:r>
      <w:r>
        <w:rPr>
          <w:color w:val="231F20"/>
          <w:spacing w:val="44"/>
        </w:rPr>
        <w:t> </w:t>
      </w:r>
      <w:r>
        <w:rPr>
          <w:color w:val="231F20"/>
        </w:rPr>
        <w:t>10’000</w:t>
      </w:r>
      <w:r>
        <w:rPr>
          <w:color w:val="231F20"/>
          <w:spacing w:val="26"/>
        </w:rPr>
        <w:t> </w:t>
      </w:r>
      <w:r>
        <w:rPr>
          <w:color w:val="231F20"/>
        </w:rPr>
        <w:t>l-Eis-</w:t>
      </w:r>
      <w:r>
        <w:rPr>
          <w:color w:val="231F20"/>
        </w:rPr>
        <w:t> speicher</w:t>
      </w:r>
      <w:r>
        <w:rPr>
          <w:color w:val="231F20"/>
          <w:spacing w:val="46"/>
        </w:rPr>
        <w:t> </w:t>
      </w:r>
      <w:r>
        <w:rPr>
          <w:color w:val="231F20"/>
        </w:rPr>
        <w:t>und</w:t>
      </w:r>
      <w:r>
        <w:rPr>
          <w:color w:val="231F20"/>
          <w:spacing w:val="47"/>
        </w:rPr>
        <w:t> </w:t>
      </w:r>
      <w:r>
        <w:rPr>
          <w:color w:val="231F20"/>
        </w:rPr>
        <w:t>der</w:t>
      </w:r>
      <w:r>
        <w:rPr>
          <w:color w:val="231F20"/>
          <w:spacing w:val="46"/>
        </w:rPr>
        <w:t> </w:t>
      </w:r>
      <w:r>
        <w:rPr>
          <w:color w:val="231F20"/>
        </w:rPr>
        <w:t>Wärmepumpe</w:t>
      </w:r>
      <w:r>
        <w:rPr>
          <w:color w:val="231F20"/>
          <w:spacing w:val="47"/>
        </w:rPr>
        <w:t> </w:t>
      </w:r>
      <w:r>
        <w:rPr>
          <w:color w:val="231F20"/>
        </w:rPr>
        <w:t>wird</w:t>
      </w:r>
      <w:r>
        <w:rPr>
          <w:color w:val="231F20"/>
          <w:spacing w:val="47"/>
        </w:rPr>
        <w:t> </w:t>
      </w:r>
      <w:r>
        <w:rPr>
          <w:color w:val="231F20"/>
        </w:rPr>
        <w:t>die</w:t>
      </w:r>
      <w:r>
        <w:rPr>
          <w:color w:val="231F20"/>
        </w:rPr>
        <w:t> gesamte</w:t>
      </w:r>
      <w:r>
        <w:rPr>
          <w:color w:val="231F20"/>
          <w:spacing w:val="32"/>
        </w:rPr>
        <w:t> </w:t>
      </w:r>
      <w:r>
        <w:rPr>
          <w:color w:val="231F20"/>
        </w:rPr>
        <w:t>Heizwärme</w:t>
      </w:r>
      <w:r>
        <w:rPr>
          <w:color w:val="231F20"/>
          <w:spacing w:val="33"/>
        </w:rPr>
        <w:t> </w:t>
      </w:r>
      <w:r>
        <w:rPr>
          <w:color w:val="231F20"/>
        </w:rPr>
        <w:t>erzeugt.</w:t>
      </w:r>
      <w:r>
        <w:rPr>
          <w:color w:val="231F20"/>
          <w:spacing w:val="32"/>
        </w:rPr>
        <w:t> </w:t>
      </w:r>
      <w:r>
        <w:rPr>
          <w:color w:val="231F20"/>
        </w:rPr>
        <w:t>Die</w:t>
      </w:r>
      <w:r>
        <w:rPr>
          <w:color w:val="231F20"/>
          <w:spacing w:val="33"/>
        </w:rPr>
        <w:t> </w:t>
      </w:r>
      <w:r>
        <w:rPr>
          <w:color w:val="231F20"/>
        </w:rPr>
        <w:t>solar-</w:t>
      </w:r>
      <w:r>
        <w:rPr>
          <w:color w:val="231F20"/>
        </w:rPr>
        <w:t> betriebene</w:t>
      </w:r>
      <w:r>
        <w:rPr>
          <w:color w:val="231F20"/>
          <w:spacing w:val="7"/>
        </w:rPr>
        <w:t> </w:t>
      </w:r>
      <w:r>
        <w:rPr>
          <w:color w:val="231F20"/>
        </w:rPr>
        <w:t>Wärmepumpen-Heizung</w:t>
      </w:r>
      <w:r>
        <w:rPr>
          <w:color w:val="231F20"/>
          <w:spacing w:val="7"/>
        </w:rPr>
        <w:t> </w:t>
      </w:r>
      <w:r>
        <w:rPr>
          <w:color w:val="231F20"/>
        </w:rPr>
        <w:t>läuft</w:t>
      </w:r>
      <w:r>
        <w:rPr>
          <w:color w:val="231F20"/>
        </w:rPr>
        <w:t> über</w:t>
      </w:r>
      <w:r>
        <w:rPr>
          <w:color w:val="231F20"/>
          <w:spacing w:val="8"/>
        </w:rPr>
        <w:t> </w:t>
      </w:r>
      <w:r>
        <w:rPr>
          <w:color w:val="231F20"/>
        </w:rPr>
        <w:t>den</w:t>
      </w:r>
      <w:r>
        <w:rPr>
          <w:color w:val="231F20"/>
          <w:spacing w:val="8"/>
        </w:rPr>
        <w:t> </w:t>
      </w:r>
      <w:r>
        <w:rPr>
          <w:color w:val="231F20"/>
        </w:rPr>
        <w:t>10’000</w:t>
      </w:r>
      <w:r>
        <w:rPr>
          <w:color w:val="231F20"/>
          <w:spacing w:val="8"/>
        </w:rPr>
        <w:t> </w:t>
      </w:r>
      <w:r>
        <w:rPr>
          <w:color w:val="231F20"/>
        </w:rPr>
        <w:t>l-Eispeicher,</w:t>
      </w:r>
      <w:r>
        <w:rPr>
          <w:color w:val="231F20"/>
          <w:spacing w:val="8"/>
        </w:rPr>
        <w:t> </w:t>
      </w:r>
      <w:r>
        <w:rPr>
          <w:color w:val="231F20"/>
        </w:rPr>
        <w:t>der</w:t>
      </w:r>
      <w:r>
        <w:rPr>
          <w:color w:val="231F20"/>
          <w:spacing w:val="8"/>
        </w:rPr>
        <w:t> </w:t>
      </w:r>
      <w:r>
        <w:rPr>
          <w:color w:val="231F20"/>
        </w:rPr>
        <w:t>im</w:t>
      </w:r>
      <w:r>
        <w:rPr>
          <w:color w:val="231F20"/>
          <w:spacing w:val="8"/>
        </w:rPr>
        <w:t> </w:t>
      </w:r>
      <w:r>
        <w:rPr>
          <w:color w:val="231F20"/>
        </w:rPr>
        <w:t>alten</w:t>
      </w:r>
      <w:r>
        <w:rPr>
          <w:color w:val="231F20"/>
          <w:spacing w:val="21"/>
        </w:rPr>
        <w:t> </w:t>
      </w:r>
      <w:r>
        <w:rPr>
          <w:color w:val="231F20"/>
        </w:rPr>
        <w:t>Öltank</w:t>
      </w:r>
      <w:r>
        <w:rPr>
          <w:color w:val="231F20"/>
          <w:spacing w:val="47"/>
        </w:rPr>
        <w:t> </w:t>
      </w:r>
      <w:r>
        <w:rPr>
          <w:color w:val="231F20"/>
        </w:rPr>
        <w:t>eingebaut</w:t>
      </w:r>
      <w:r>
        <w:rPr>
          <w:color w:val="231F20"/>
          <w:spacing w:val="48"/>
        </w:rPr>
        <w:t> </w:t>
      </w:r>
      <w:r>
        <w:rPr>
          <w:color w:val="231F20"/>
        </w:rPr>
        <w:t>wurde.</w:t>
      </w:r>
      <w:r>
        <w:rPr>
          <w:color w:val="231F20"/>
          <w:spacing w:val="47"/>
        </w:rPr>
        <w:t> </w:t>
      </w:r>
      <w:r>
        <w:rPr>
          <w:color w:val="231F20"/>
        </w:rPr>
        <w:t>Der</w:t>
      </w:r>
      <w:r>
        <w:rPr>
          <w:color w:val="231F20"/>
          <w:spacing w:val="48"/>
        </w:rPr>
        <w:t> </w:t>
      </w:r>
      <w:r>
        <w:rPr>
          <w:color w:val="231F20"/>
        </w:rPr>
        <w:t>Eisspeicher</w:t>
      </w:r>
      <w:r>
        <w:rPr>
          <w:color w:val="231F20"/>
        </w:rPr>
        <w:t> selber</w:t>
      </w:r>
      <w:r>
        <w:rPr>
          <w:color w:val="231F20"/>
          <w:spacing w:val="44"/>
        </w:rPr>
        <w:t> </w:t>
      </w:r>
      <w:r>
        <w:rPr>
          <w:color w:val="231F20"/>
        </w:rPr>
        <w:t>wird</w:t>
      </w:r>
      <w:r>
        <w:rPr>
          <w:color w:val="231F20"/>
          <w:spacing w:val="45"/>
        </w:rPr>
        <w:t> </w:t>
      </w:r>
      <w:r>
        <w:rPr>
          <w:color w:val="231F20"/>
        </w:rPr>
        <w:t>durch</w:t>
      </w:r>
      <w:r>
        <w:rPr>
          <w:color w:val="231F20"/>
          <w:spacing w:val="44"/>
        </w:rPr>
        <w:t> </w:t>
      </w:r>
      <w:r>
        <w:rPr>
          <w:color w:val="231F20"/>
        </w:rPr>
        <w:t>die</w:t>
      </w:r>
      <w:r>
        <w:rPr>
          <w:color w:val="231F20"/>
          <w:spacing w:val="45"/>
        </w:rPr>
        <w:t> </w:t>
      </w:r>
      <w:r>
        <w:rPr>
          <w:color w:val="231F20"/>
        </w:rPr>
        <w:t>fassadenintegrierte</w:t>
      </w:r>
      <w:r>
        <w:rPr>
          <w:color w:val="231F20"/>
        </w:rPr>
        <w:t> PVT-Anlage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(Photovoltaik-Thermie-Hybrid)</w:t>
      </w:r>
      <w:r>
        <w:rPr>
          <w:color w:val="231F20"/>
          <w:spacing w:val="24"/>
        </w:rPr>
        <w:t> </w:t>
      </w:r>
      <w:r>
        <w:rPr>
          <w:color w:val="231F20"/>
        </w:rPr>
        <w:t>regeneriert.</w:t>
      </w:r>
      <w:r>
        <w:rPr/>
      </w:r>
    </w:p>
    <w:p>
      <w:pPr>
        <w:pStyle w:val="BodyText"/>
        <w:spacing w:line="232" w:lineRule="auto" w:before="14"/>
        <w:ind w:right="8"/>
        <w:jc w:val="both"/>
      </w:pPr>
      <w:r>
        <w:rPr>
          <w:color w:val="231F20"/>
        </w:rPr>
        <w:t>Das</w:t>
      </w:r>
      <w:r>
        <w:rPr>
          <w:color w:val="231F20"/>
          <w:spacing w:val="-4"/>
        </w:rPr>
        <w:t> </w:t>
      </w:r>
      <w:r>
        <w:rPr>
          <w:color w:val="231F20"/>
        </w:rPr>
        <w:t>Warmwasser</w:t>
      </w:r>
      <w:r>
        <w:rPr>
          <w:color w:val="231F20"/>
          <w:spacing w:val="-4"/>
        </w:rPr>
        <w:t> </w:t>
      </w:r>
      <w:r>
        <w:rPr>
          <w:color w:val="231F20"/>
        </w:rPr>
        <w:t>wird</w:t>
      </w:r>
      <w:r>
        <w:rPr>
          <w:color w:val="231F20"/>
          <w:spacing w:val="-4"/>
        </w:rPr>
        <w:t> </w:t>
      </w:r>
      <w:r>
        <w:rPr>
          <w:color w:val="231F20"/>
        </w:rPr>
        <w:t>zu</w:t>
      </w:r>
      <w:r>
        <w:rPr>
          <w:color w:val="231F20"/>
          <w:spacing w:val="-4"/>
        </w:rPr>
        <w:t> </w:t>
      </w:r>
      <w:r>
        <w:rPr>
          <w:color w:val="231F20"/>
        </w:rPr>
        <w:t>70%</w:t>
      </w:r>
      <w:r>
        <w:rPr>
          <w:color w:val="231F20"/>
          <w:spacing w:val="-4"/>
        </w:rPr>
        <w:t> </w:t>
      </w:r>
      <w:r>
        <w:rPr>
          <w:color w:val="231F20"/>
        </w:rPr>
        <w:t>mit</w:t>
      </w:r>
      <w:r>
        <w:rPr>
          <w:color w:val="231F20"/>
          <w:spacing w:val="-4"/>
        </w:rPr>
        <w:t> </w:t>
      </w:r>
      <w:r>
        <w:rPr>
          <w:color w:val="231F20"/>
        </w:rPr>
        <w:t>sechs</w:t>
      </w:r>
      <w:r>
        <w:rPr>
          <w:color w:val="231F20"/>
        </w:rPr>
        <w:t> thermischen</w:t>
      </w:r>
      <w:r>
        <w:rPr>
          <w:color w:val="231F20"/>
          <w:spacing w:val="-12"/>
        </w:rPr>
        <w:t> </w:t>
      </w:r>
      <w:r>
        <w:rPr>
          <w:color w:val="231F20"/>
        </w:rPr>
        <w:t>Kollektoren,</w:t>
      </w:r>
      <w:r>
        <w:rPr>
          <w:color w:val="231F20"/>
          <w:spacing w:val="-22"/>
        </w:rPr>
        <w:t> </w:t>
      </w:r>
      <w:r>
        <w:rPr>
          <w:color w:val="231F20"/>
        </w:rPr>
        <w:t>die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2"/>
        </w:rPr>
        <w:t> </w:t>
      </w:r>
      <w:r>
        <w:rPr>
          <w:color w:val="231F20"/>
        </w:rPr>
        <w:t>das</w:t>
      </w:r>
      <w:r>
        <w:rPr>
          <w:color w:val="231F20"/>
          <w:spacing w:val="-12"/>
        </w:rPr>
        <w:t> </w:t>
      </w:r>
      <w:r>
        <w:rPr>
          <w:color w:val="231F20"/>
        </w:rPr>
        <w:t>Dach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in-</w:t>
      </w:r>
      <w:r>
        <w:rPr>
          <w:color w:val="231F20"/>
          <w:spacing w:val="25"/>
        </w:rPr>
        <w:t> </w:t>
      </w:r>
      <w:r>
        <w:rPr>
          <w:color w:val="231F20"/>
        </w:rPr>
        <w:t>tegriert</w:t>
      </w:r>
      <w:r>
        <w:rPr>
          <w:color w:val="231F20"/>
          <w:spacing w:val="-15"/>
        </w:rPr>
        <w:t> </w:t>
      </w:r>
      <w:r>
        <w:rPr>
          <w:color w:val="231F20"/>
        </w:rPr>
        <w:t>sind,</w:t>
      </w:r>
      <w:r>
        <w:rPr>
          <w:color w:val="231F20"/>
          <w:spacing w:val="-26"/>
        </w:rPr>
        <w:t> </w:t>
      </w:r>
      <w:r>
        <w:rPr>
          <w:color w:val="231F20"/>
        </w:rPr>
        <w:t>produziert.</w:t>
      </w:r>
      <w:r>
        <w:rPr>
          <w:color w:val="231F20"/>
          <w:spacing w:val="-15"/>
        </w:rPr>
        <w:t> </w:t>
      </w:r>
      <w:r>
        <w:rPr>
          <w:color w:val="231F20"/>
        </w:rPr>
        <w:t>Die</w:t>
      </w:r>
      <w:r>
        <w:rPr>
          <w:color w:val="231F20"/>
          <w:spacing w:val="-15"/>
        </w:rPr>
        <w:t> </w:t>
      </w:r>
      <w:r>
        <w:rPr>
          <w:color w:val="231F20"/>
        </w:rPr>
        <w:t>Wärmespeicher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fassen</w:t>
      </w:r>
      <w:r>
        <w:rPr>
          <w:color w:val="231F20"/>
          <w:spacing w:val="-6"/>
        </w:rPr>
        <w:t> </w:t>
      </w:r>
      <w:r>
        <w:rPr>
          <w:color w:val="231F20"/>
        </w:rPr>
        <w:t>fürs</w:t>
      </w:r>
      <w:r>
        <w:rPr>
          <w:color w:val="231F20"/>
          <w:spacing w:val="-6"/>
        </w:rPr>
        <w:t> </w:t>
      </w:r>
      <w:r>
        <w:rPr>
          <w:color w:val="231F20"/>
        </w:rPr>
        <w:t>Warmwasser</w:t>
      </w:r>
      <w:r>
        <w:rPr>
          <w:color w:val="231F20"/>
          <w:spacing w:val="-6"/>
        </w:rPr>
        <w:t> </w:t>
      </w:r>
      <w:r>
        <w:rPr>
          <w:color w:val="231F20"/>
        </w:rPr>
        <w:t>1’000</w:t>
      </w:r>
      <w:r>
        <w:rPr>
          <w:color w:val="231F20"/>
          <w:spacing w:val="-6"/>
        </w:rPr>
        <w:t> </w:t>
      </w:r>
      <w:r>
        <w:rPr>
          <w:color w:val="231F20"/>
        </w:rPr>
        <w:t>l</w:t>
      </w:r>
      <w:r>
        <w:rPr>
          <w:color w:val="231F20"/>
          <w:spacing w:val="-6"/>
        </w:rPr>
        <w:t> </w:t>
      </w:r>
      <w:r>
        <w:rPr>
          <w:color w:val="231F20"/>
        </w:rPr>
        <w:t>und</w:t>
      </w:r>
      <w:r>
        <w:rPr>
          <w:color w:val="231F20"/>
          <w:spacing w:val="-6"/>
        </w:rPr>
        <w:t> </w:t>
      </w:r>
      <w:r>
        <w:rPr>
          <w:color w:val="231F20"/>
        </w:rPr>
        <w:t>für</w:t>
      </w:r>
      <w:r>
        <w:rPr>
          <w:color w:val="231F20"/>
          <w:spacing w:val="-6"/>
        </w:rPr>
        <w:t> </w:t>
      </w:r>
      <w:r>
        <w:rPr>
          <w:color w:val="231F20"/>
        </w:rPr>
        <w:t>die</w:t>
      </w:r>
      <w:r>
        <w:rPr>
          <w:color w:val="231F20"/>
          <w:spacing w:val="24"/>
        </w:rPr>
        <w:t> </w:t>
      </w:r>
      <w:r>
        <w:rPr>
          <w:color w:val="231F20"/>
        </w:rPr>
        <w:t>Heizung 1’500 l.</w:t>
      </w:r>
      <w:r>
        <w:rPr/>
      </w:r>
    </w:p>
    <w:p>
      <w:pPr>
        <w:spacing w:line="234" w:lineRule="exact" w:before="61"/>
        <w:ind w:left="106" w:right="0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L’assainissement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l’immeuble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Caotec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2" w:lineRule="auto" w:before="2"/>
        <w:ind w:left="106" w:right="0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–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Haustechnik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permis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transformer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Bâtiment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Énergie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Positive.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Avant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ré-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novation,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consommation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était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112’600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kWh/a.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Grâce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isolation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thermique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optimale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32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cm,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avec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valeur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0,09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W/m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position w:val="6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K,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ainsi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qu’à 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l’électroménager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classe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énergétique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A+++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(20%)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A+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(50%)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ampoules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LED,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besoins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sont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passés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22’300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kWh/a,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y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véhicule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électrique.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2" w:lineRule="auto" w:before="0"/>
        <w:ind w:left="106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L’installation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39,5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kWc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315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position w:val="6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w w:val="104"/>
          <w:position w:val="6"/>
          <w:sz w:val="10"/>
          <w:szCs w:val="10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génère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23’200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kWh/a.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11’700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kWh/a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produits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par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capteurs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solaires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thermiques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sont utilisés à 100%.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2" w:lineRule="auto" w:before="0"/>
        <w:ind w:left="106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accumulateur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glace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10’000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combiné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pompe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chaleur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pourvoit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totalité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chauffage.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pompe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chaleur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fonctionne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l’énergie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solaire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re-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liée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l’accumulateur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glace.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Placé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l’ancien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réservoir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mazout,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dernier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régénéré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par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l’installation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PVT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intégrée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la façade.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2" w:lineRule="auto" w:before="0"/>
        <w:ind w:left="106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Six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capteurs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thermiques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placés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sur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toit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l’immeuble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produisent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70%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l’eau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chaude.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accumulateurs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chaleur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capacité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1’000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l’eau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chaude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et de 1’500 l pour le chauffage.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before="87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/>
          <w:b/>
          <w:color w:val="231F20"/>
          <w:sz w:val="14"/>
        </w:rPr>
        <w:t>Technische </w:t>
      </w:r>
      <w:r>
        <w:rPr>
          <w:rFonts w:ascii="Theinhardt Black"/>
          <w:b/>
          <w:color w:val="231F20"/>
          <w:spacing w:val="1"/>
          <w:sz w:val="14"/>
        </w:rPr>
        <w:t>Daten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before="66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Wärmedämmung</w:t>
      </w:r>
      <w:r>
        <w:rPr>
          <w:rFonts w:ascii="Theinhardt Bold" w:hAnsi="Theinhardt Bold"/>
          <w:sz w:val="14"/>
        </w:rPr>
      </w:r>
    </w:p>
    <w:p>
      <w:pPr>
        <w:spacing w:line="240" w:lineRule="auto" w:before="1"/>
        <w:rPr>
          <w:rFonts w:ascii="Theinhardt Bold" w:hAnsi="Theinhardt Bold" w:cs="Theinhardt Bold" w:eastAsia="Theinhardt Bold"/>
          <w:b/>
          <w:bCs/>
          <w:sz w:val="2"/>
          <w:szCs w:val="2"/>
        </w:rPr>
      </w:pPr>
    </w:p>
    <w:tbl>
      <w:tblPr>
        <w:tblW w:w="0" w:type="auto"/>
        <w:jc w:val="left"/>
        <w:tblInd w:w="5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7"/>
        <w:gridCol w:w="401"/>
        <w:gridCol w:w="360"/>
        <w:gridCol w:w="378"/>
        <w:gridCol w:w="262"/>
        <w:gridCol w:w="180"/>
        <w:gridCol w:w="702"/>
      </w:tblGrid>
      <w:tr>
        <w:trPr>
          <w:trHeight w:val="598" w:hRule="exact"/>
        </w:trPr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Wand: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spacing w:line="207" w:lineRule="auto" w:before="5"/>
              <w:ind w:left="55" w:right="422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Dach:</w:t>
            </w:r>
            <w:r>
              <w:rPr>
                <w:rFonts w:ascii="Theinhardt Regular"/>
                <w:color w:val="231F20"/>
                <w:spacing w:val="21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Boden:</w:t>
            </w:r>
            <w:r>
              <w:rPr>
                <w:rFonts w:ascii="Theinhardt Regular"/>
                <w:color w:val="231F20"/>
                <w:spacing w:val="24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Fenster: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76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5" w:right="0"/>
              <w:jc w:val="center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3"/>
                <w:sz w:val="14"/>
              </w:rPr>
              <w:t>32+2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cm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spacing w:line="160" w:lineRule="exact"/>
              <w:ind w:left="281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32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cm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spacing w:line="207" w:lineRule="auto" w:before="5"/>
              <w:ind w:left="162" w:right="91" w:firstLine="199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3 </w:t>
            </w:r>
            <w:r>
              <w:rPr>
                <w:rFonts w:ascii="Theinhardt Regular"/>
                <w:color w:val="231F20"/>
                <w:spacing w:val="2"/>
                <w:sz w:val="14"/>
              </w:rPr>
              <w:t>c</w:t>
            </w:r>
            <w:r>
              <w:rPr>
                <w:rFonts w:ascii="Theinhardt Regular"/>
                <w:color w:val="231F20"/>
                <w:sz w:val="14"/>
              </w:rPr>
              <w:t>m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dreifach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3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93" w:right="0"/>
              <w:jc w:val="both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U-Wert: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spacing w:line="207" w:lineRule="auto" w:before="5"/>
              <w:ind w:left="93" w:right="71"/>
              <w:jc w:val="both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U-Wert:</w:t>
            </w:r>
            <w:r>
              <w:rPr>
                <w:rFonts w:ascii="Theinhardt Regular"/>
                <w:color w:val="231F20"/>
                <w:spacing w:val="25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U-Wert:</w:t>
            </w:r>
            <w:r>
              <w:rPr>
                <w:rFonts w:ascii="Theinhardt Regular"/>
                <w:color w:val="231F20"/>
                <w:spacing w:val="25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U-Wert: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88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ListParagraph"/>
              <w:numPr>
                <w:ilvl w:val="1"/>
                <w:numId w:val="1"/>
              </w:numPr>
              <w:tabs>
                <w:tab w:pos="400" w:val="left" w:leader="none"/>
              </w:tabs>
              <w:spacing w:line="120" w:lineRule="exact" w:before="0" w:after="0"/>
              <w:ind w:left="399" w:right="0" w:hanging="326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2"/>
                <w:sz w:val="14"/>
              </w:rPr>
              <w:t>W/m</w:t>
            </w:r>
            <w:r>
              <w:rPr>
                <w:rFonts w:ascii="Theinhardt Regular"/>
                <w:color w:val="231F20"/>
                <w:spacing w:val="-2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K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ListParagraph"/>
              <w:numPr>
                <w:ilvl w:val="1"/>
                <w:numId w:val="1"/>
              </w:numPr>
              <w:tabs>
                <w:tab w:pos="400" w:val="left" w:leader="none"/>
              </w:tabs>
              <w:spacing w:line="160" w:lineRule="exact" w:before="0" w:after="0"/>
              <w:ind w:left="399" w:right="0" w:hanging="306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2"/>
                <w:sz w:val="14"/>
              </w:rPr>
              <w:t>W/m</w:t>
            </w:r>
            <w:r>
              <w:rPr>
                <w:rFonts w:ascii="Theinhardt Regular"/>
                <w:color w:val="231F20"/>
                <w:spacing w:val="-2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K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spacing w:line="160" w:lineRule="exact"/>
              <w:ind w:left="103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7"/>
                <w:sz w:val="14"/>
              </w:rPr>
              <w:t>1.12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W/m</w:t>
            </w:r>
            <w:r>
              <w:rPr>
                <w:rFonts w:ascii="Theinhardt Regular"/>
                <w:color w:val="231F20"/>
                <w:spacing w:val="-2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K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spacing w:line="158" w:lineRule="exact"/>
              <w:ind w:left="157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0.5 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W/m</w:t>
            </w:r>
            <w:r>
              <w:rPr>
                <w:rFonts w:ascii="Theinhardt Regular"/>
                <w:color w:val="231F20"/>
                <w:spacing w:val="-2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K</w:t>
            </w:r>
            <w:r>
              <w:rPr>
                <w:rFonts w:ascii="Theinhardt Regular"/>
                <w:sz w:val="14"/>
              </w:rPr>
            </w:r>
          </w:p>
        </w:tc>
      </w:tr>
      <w:tr>
        <w:trPr>
          <w:trHeight w:val="218" w:hRule="exact"/>
        </w:trPr>
        <w:tc>
          <w:tcPr>
            <w:tcW w:w="3270" w:type="dxa"/>
            <w:gridSpan w:val="7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 w:before="46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2"/>
                <w:sz w:val="14"/>
              </w:rPr>
              <w:t>Energiebedarf</w:t>
            </w:r>
            <w:r>
              <w:rPr>
                <w:rFonts w:ascii="Theinhardt Bold"/>
                <w:b/>
                <w:color w:val="231F20"/>
                <w:sz w:val="14"/>
              </w:rPr>
              <w:t> </w:t>
            </w:r>
            <w:r>
              <w:rPr>
                <w:rFonts w:ascii="Theinhardt Bold"/>
                <w:b/>
                <w:color w:val="231F20"/>
                <w:spacing w:val="1"/>
                <w:sz w:val="14"/>
              </w:rPr>
              <w:t>vor</w:t>
            </w:r>
            <w:r>
              <w:rPr>
                <w:rFonts w:ascii="Theinhardt Bold"/>
                <w:b/>
                <w:color w:val="231F20"/>
                <w:sz w:val="14"/>
              </w:rPr>
              <w:t> </w:t>
            </w:r>
            <w:r>
              <w:rPr>
                <w:rFonts w:ascii="Theinhardt Bold"/>
                <w:b/>
                <w:color w:val="231F20"/>
                <w:spacing w:val="1"/>
                <w:sz w:val="14"/>
              </w:rPr>
              <w:t>Sanierung</w:t>
            </w:r>
            <w:r>
              <w:rPr>
                <w:rFonts w:ascii="Theinhardt Bold"/>
                <w:b/>
                <w:color w:val="231F20"/>
                <w:sz w:val="14"/>
              </w:rPr>
              <w:t> </w:t>
            </w:r>
            <w:r>
              <w:rPr>
                <w:rFonts w:ascii="Theinhardt Bold"/>
                <w:b/>
                <w:color w:val="231F20"/>
                <w:spacing w:val="-1"/>
                <w:sz w:val="14"/>
              </w:rPr>
              <w:t>[100%</w:t>
            </w:r>
            <w:r>
              <w:rPr>
                <w:rFonts w:ascii="Theinhardt Bold"/>
                <w:b/>
                <w:color w:val="231F20"/>
                <w:sz w:val="14"/>
              </w:rPr>
              <w:t> | 504%]</w:t>
            </w:r>
            <w:r>
              <w:rPr>
                <w:rFonts w:ascii="Theinhardt Bold"/>
                <w:sz w:val="14"/>
              </w:rPr>
            </w:r>
          </w:p>
        </w:tc>
      </w:tr>
      <w:tr>
        <w:trPr>
          <w:trHeight w:val="168" w:hRule="exact"/>
        </w:trPr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3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8"/>
                <w:szCs w:val="8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EBF: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876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-1"/>
                <w:sz w:val="14"/>
              </w:rPr>
              <w:t>m</w:t>
            </w:r>
            <w:r>
              <w:rPr>
                <w:rFonts w:ascii="Theinhardt Regular"/>
                <w:color w:val="231F20"/>
                <w:spacing w:val="-1"/>
                <w:position w:val="5"/>
                <w:sz w:val="8"/>
              </w:rPr>
              <w:t>2</w:t>
            </w:r>
            <w:r>
              <w:rPr>
                <w:rFonts w:ascii="Theinhardt Regular"/>
                <w:sz w:val="8"/>
              </w:rPr>
            </w:r>
          </w:p>
        </w:tc>
        <w:tc>
          <w:tcPr>
            <w:tcW w:w="1139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3" w:lineRule="exact"/>
              <w:ind w:left="480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kWh/m</w:t>
            </w:r>
            <w:r>
              <w:rPr>
                <w:rFonts w:ascii="Theinhardt Regular"/>
                <w:color w:val="231F20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z w:val="14"/>
              </w:rPr>
              <w:t>a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4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3" w:lineRule="exact"/>
              <w:ind w:left="240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%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3" w:lineRule="exact"/>
              <w:ind w:left="204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kWh/a</w:t>
            </w:r>
            <w:r>
              <w:rPr>
                <w:rFonts w:ascii="Theinhardt Regular"/>
                <w:sz w:val="14"/>
              </w:rPr>
            </w:r>
          </w:p>
        </w:tc>
      </w:tr>
      <w:tr>
        <w:trPr>
          <w:trHeight w:val="160" w:hRule="exact"/>
        </w:trPr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Warmwasser: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1139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right="89"/>
              <w:jc w:val="righ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w w:val="95"/>
                <w:sz w:val="14"/>
              </w:rPr>
              <w:t>6.0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4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67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4.6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241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1"/>
                <w:sz w:val="14"/>
                <w:szCs w:val="14"/>
              </w:rPr>
              <w:t>5’256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60" w:hRule="exact"/>
        </w:trPr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Heizung: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1139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682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105.0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4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01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5"/>
                <w:sz w:val="14"/>
              </w:rPr>
              <w:t>81.7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60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2"/>
                <w:sz w:val="14"/>
                <w:szCs w:val="14"/>
              </w:rPr>
              <w:t>91’980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60" w:hRule="exact"/>
        </w:trPr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pacing w:val="2"/>
                <w:sz w:val="14"/>
              </w:rPr>
              <w:t>Elektrizität:</w:t>
            </w:r>
            <w:r>
              <w:rPr>
                <w:rFonts w:ascii="Theinhardt Regular" w:hAnsi="Theinhardt Regular"/>
                <w:sz w:val="14"/>
              </w:rPr>
            </w:r>
          </w:p>
        </w:tc>
        <w:tc>
          <w:tcPr>
            <w:tcW w:w="1139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right="89"/>
              <w:jc w:val="righ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5"/>
                <w:sz w:val="14"/>
              </w:rPr>
              <w:t>17.5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4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91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3"/>
                <w:sz w:val="14"/>
              </w:rPr>
              <w:t>13.6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63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2"/>
                <w:sz w:val="14"/>
                <w:szCs w:val="14"/>
              </w:rPr>
              <w:t>15’330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52" w:hRule="exact"/>
        </w:trPr>
        <w:tc>
          <w:tcPr>
            <w:tcW w:w="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2" w:lineRule="exact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2"/>
                <w:sz w:val="14"/>
              </w:rPr>
              <w:t>Gesamt-EB: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1139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2" w:lineRule="exact"/>
              <w:ind w:left="670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z w:val="14"/>
              </w:rPr>
              <w:t>128.5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44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2" w:lineRule="exact"/>
              <w:ind w:left="120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100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2" w:lineRule="exact"/>
              <w:ind w:left="73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pacing w:val="-1"/>
                <w:sz w:val="14"/>
                <w:szCs w:val="14"/>
              </w:rPr>
              <w:t>112’566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  <w:tr>
        <w:trPr>
          <w:trHeight w:val="217" w:hRule="exact"/>
        </w:trPr>
        <w:tc>
          <w:tcPr>
            <w:tcW w:w="3270" w:type="dxa"/>
            <w:gridSpan w:val="7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 w:before="44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2"/>
                <w:sz w:val="14"/>
              </w:rPr>
              <w:t>Energiebedarf</w:t>
            </w:r>
            <w:r>
              <w:rPr>
                <w:rFonts w:ascii="Theinhardt Bold"/>
                <w:b/>
                <w:color w:val="231F20"/>
                <w:sz w:val="14"/>
              </w:rPr>
              <w:t> </w:t>
            </w:r>
            <w:r>
              <w:rPr>
                <w:rFonts w:ascii="Theinhardt Bold"/>
                <w:b/>
                <w:color w:val="231F20"/>
                <w:spacing w:val="1"/>
                <w:sz w:val="14"/>
              </w:rPr>
              <w:t>nach</w:t>
            </w:r>
            <w:r>
              <w:rPr>
                <w:rFonts w:ascii="Theinhardt Bold"/>
                <w:b/>
                <w:color w:val="231F20"/>
                <w:sz w:val="14"/>
              </w:rPr>
              <w:t> </w:t>
            </w:r>
            <w:r>
              <w:rPr>
                <w:rFonts w:ascii="Theinhardt Bold"/>
                <w:b/>
                <w:color w:val="231F20"/>
                <w:spacing w:val="1"/>
                <w:sz w:val="14"/>
              </w:rPr>
              <w:t>Sanierung</w:t>
            </w:r>
            <w:r>
              <w:rPr>
                <w:rFonts w:ascii="Theinhardt Bold"/>
                <w:b/>
                <w:color w:val="231F20"/>
                <w:sz w:val="14"/>
              </w:rPr>
              <w:t> </w:t>
            </w:r>
            <w:r>
              <w:rPr>
                <w:rFonts w:ascii="Theinhardt Bold"/>
                <w:b/>
                <w:color w:val="231F20"/>
                <w:spacing w:val="1"/>
                <w:sz w:val="14"/>
              </w:rPr>
              <w:t>[20%</w:t>
            </w:r>
            <w:r>
              <w:rPr>
                <w:rFonts w:ascii="Theinhardt Bold"/>
                <w:b/>
                <w:color w:val="231F20"/>
                <w:sz w:val="14"/>
              </w:rPr>
              <w:t> | </w:t>
            </w:r>
            <w:r>
              <w:rPr>
                <w:rFonts w:ascii="Theinhardt Bold"/>
                <w:b/>
                <w:color w:val="231F20"/>
                <w:spacing w:val="-1"/>
                <w:sz w:val="14"/>
              </w:rPr>
              <w:t>100%]</w:t>
            </w:r>
            <w:r>
              <w:rPr>
                <w:rFonts w:ascii="Theinhardt Bold"/>
                <w:sz w:val="14"/>
              </w:rPr>
            </w:r>
          </w:p>
        </w:tc>
      </w:tr>
      <w:tr>
        <w:trPr>
          <w:trHeight w:val="168" w:hRule="exact"/>
        </w:trPr>
        <w:tc>
          <w:tcPr>
            <w:tcW w:w="138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3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8"/>
                <w:szCs w:val="8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EBF: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876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-1"/>
                <w:sz w:val="14"/>
              </w:rPr>
              <w:t>m</w:t>
            </w:r>
            <w:r>
              <w:rPr>
                <w:rFonts w:ascii="Theinhardt Regular"/>
                <w:color w:val="231F20"/>
                <w:spacing w:val="-1"/>
                <w:position w:val="5"/>
                <w:sz w:val="8"/>
              </w:rPr>
              <w:t>2</w:t>
            </w:r>
            <w:r>
              <w:rPr>
                <w:rFonts w:ascii="Theinhardt Regular"/>
                <w:sz w:val="8"/>
              </w:rPr>
            </w:r>
          </w:p>
        </w:tc>
        <w:tc>
          <w:tcPr>
            <w:tcW w:w="73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3" w:lineRule="exact"/>
              <w:ind w:left="79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kWh/m</w:t>
            </w:r>
            <w:r>
              <w:rPr>
                <w:rFonts w:ascii="Theinhardt Regular"/>
                <w:color w:val="231F20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z w:val="14"/>
              </w:rPr>
              <w:t>a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4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3" w:lineRule="exact"/>
              <w:ind w:left="240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%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3" w:lineRule="exact"/>
              <w:ind w:left="204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kWh/a</w:t>
            </w:r>
            <w:r>
              <w:rPr>
                <w:rFonts w:ascii="Theinhardt Regular"/>
                <w:sz w:val="14"/>
              </w:rPr>
            </w:r>
          </w:p>
        </w:tc>
      </w:tr>
      <w:tr>
        <w:trPr>
          <w:trHeight w:val="160" w:hRule="exact"/>
        </w:trPr>
        <w:tc>
          <w:tcPr>
            <w:tcW w:w="138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WW+H: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73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368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3"/>
                <w:sz w:val="14"/>
              </w:rPr>
              <w:t>13.4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4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20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2"/>
                <w:sz w:val="14"/>
              </w:rPr>
              <w:t>52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71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3"/>
                <w:sz w:val="14"/>
                <w:szCs w:val="14"/>
              </w:rPr>
              <w:t>11’706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60" w:hRule="exact"/>
        </w:trPr>
        <w:tc>
          <w:tcPr>
            <w:tcW w:w="138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pacing w:val="2"/>
                <w:sz w:val="14"/>
              </w:rPr>
              <w:t>Elektrizität:</w:t>
            </w:r>
            <w:r>
              <w:rPr>
                <w:rFonts w:ascii="Theinhardt Regular" w:hAnsi="Theinhardt Regular"/>
                <w:sz w:val="14"/>
              </w:rPr>
            </w:r>
          </w:p>
        </w:tc>
        <w:tc>
          <w:tcPr>
            <w:tcW w:w="73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380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5"/>
                <w:sz w:val="14"/>
              </w:rPr>
              <w:t>12.1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4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200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2"/>
                <w:sz w:val="14"/>
              </w:rPr>
              <w:t>4</w:t>
            </w:r>
            <w:r>
              <w:rPr>
                <w:rFonts w:ascii="Theinhardt Regular"/>
                <w:color w:val="231F20"/>
                <w:sz w:val="14"/>
              </w:rPr>
              <w:t>8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70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3"/>
                <w:sz w:val="14"/>
                <w:szCs w:val="14"/>
              </w:rPr>
              <w:t>10’614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90" w:hRule="exact"/>
        </w:trPr>
        <w:tc>
          <w:tcPr>
            <w:tcW w:w="138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2"/>
                <w:sz w:val="14"/>
              </w:rPr>
              <w:t>Gesamt-EB: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73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350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1"/>
                <w:sz w:val="14"/>
              </w:rPr>
              <w:t>25</w:t>
            </w:r>
            <w:r>
              <w:rPr>
                <w:rFonts w:ascii="Theinhardt Bold"/>
                <w:b/>
                <w:color w:val="231F20"/>
                <w:spacing w:val="2"/>
                <w:sz w:val="14"/>
              </w:rPr>
              <w:t>.</w:t>
            </w:r>
            <w:r>
              <w:rPr>
                <w:rFonts w:ascii="Theinhardt Bold"/>
                <w:b/>
                <w:color w:val="231F20"/>
                <w:sz w:val="14"/>
              </w:rPr>
              <w:t>5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44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120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100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142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pacing w:val="1"/>
                <w:sz w:val="14"/>
                <w:szCs w:val="14"/>
              </w:rPr>
              <w:t>22’320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  <w:tr>
        <w:trPr>
          <w:trHeight w:val="149" w:hRule="exact"/>
        </w:trPr>
        <w:tc>
          <w:tcPr>
            <w:tcW w:w="138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3" w:lineRule="exact" w:before="6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1"/>
                <w:sz w:val="14"/>
              </w:rPr>
              <w:t>Energieversorgung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73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4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tabs>
          <w:tab w:pos="729" w:val="left" w:leader="none"/>
          <w:tab w:pos="1802" w:val="left" w:leader="none"/>
          <w:tab w:pos="2300" w:val="left" w:leader="none"/>
          <w:tab w:pos="2418" w:val="left" w:leader="none"/>
          <w:tab w:pos="2774" w:val="left" w:leader="none"/>
          <w:tab w:pos="2824" w:val="left" w:leader="none"/>
        </w:tabs>
        <w:spacing w:line="160" w:lineRule="exact" w:before="25"/>
        <w:ind w:left="106" w:right="333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Eigen-EV: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33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      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kWp </w:t>
      </w:r>
      <w:r>
        <w:rPr>
          <w:rFonts w:ascii="Theinhardt Regular" w:hAnsi="Theinhardt Regular" w:cs="Theinhardt Regular" w:eastAsia="Theinhardt Regular"/>
          <w:color w:val="231F20"/>
          <w:spacing w:val="37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  <w:tab/>
        <w:t>%</w:t>
        <w:tab/>
        <w:tab/>
        <w:t>kWh/a</w:t>
      </w:r>
      <w:r>
        <w:rPr>
          <w:rFonts w:ascii="Theinhardt Regular" w:hAnsi="Theinhardt Regular" w:cs="Theinhardt Regular" w:eastAsia="Theinhardt Regular"/>
          <w:color w:val="231F20"/>
          <w:spacing w:val="3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PV:</w:t>
        <w:tab/>
      </w:r>
      <w:r>
        <w:rPr>
          <w:rFonts w:ascii="Theinhardt Regular" w:hAnsi="Theinhardt Regular" w:cs="Theinhardt Regular" w:eastAsia="Theinhardt Regular"/>
          <w:color w:val="231F20"/>
          <w:spacing w:val="-4"/>
          <w:sz w:val="14"/>
          <w:szCs w:val="14"/>
        </w:rPr>
        <w:t>315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</w:t>
      </w:r>
      <w:r>
        <w:rPr>
          <w:rFonts w:ascii="Theinhardt Regular" w:hAnsi="Theinhardt Regular" w:cs="Theinhardt Regular" w:eastAsia="Theinhardt Regular"/>
          <w:color w:val="231F20"/>
          <w:spacing w:val="3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39.5</w:t>
        <w:tab/>
        <w:t>73.6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w w:val="95"/>
          <w:sz w:val="14"/>
          <w:szCs w:val="14"/>
        </w:rPr>
        <w:t>104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23’181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786" w:val="left" w:leader="none"/>
          <w:tab w:pos="1745" w:val="left" w:leader="none"/>
          <w:tab w:pos="2383" w:val="left" w:leader="none"/>
          <w:tab w:pos="2776" w:val="left" w:leader="none"/>
        </w:tabs>
        <w:spacing w:line="165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SK:</w:t>
        <w:tab/>
      </w:r>
      <w:r>
        <w:rPr>
          <w:rFonts w:ascii="Theinhardt Regular" w:hAnsi="Theinhardt Regular" w:cs="Theinhardt Regular" w:eastAsia="Theinhardt Regular"/>
          <w:color w:val="231F20"/>
          <w:w w:val="95"/>
          <w:sz w:val="14"/>
          <w:szCs w:val="14"/>
        </w:rPr>
        <w:t>67*</w:t>
        <w:tab/>
      </w:r>
      <w:r>
        <w:rPr>
          <w:rFonts w:ascii="Theinhardt Regular" w:hAnsi="Theinhardt Regular" w:cs="Theinhardt Regular" w:eastAsia="Theinhardt Regular"/>
          <w:color w:val="231F20"/>
          <w:spacing w:val="-6"/>
          <w:sz w:val="14"/>
          <w:szCs w:val="14"/>
        </w:rPr>
        <w:t>174.7</w:t>
        <w:tab/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52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11’706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301" w:val="left" w:leader="none"/>
          <w:tab w:pos="2764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Eigenenergieversorgung: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w w:val="95"/>
          <w:sz w:val="14"/>
          <w:szCs w:val="14"/>
        </w:rPr>
        <w:t>156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34’887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before="35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* Teilweise </w:t>
      </w:r>
      <w:r>
        <w:rPr>
          <w:rFonts w:ascii="Theinhardt Regular"/>
          <w:color w:val="231F20"/>
          <w:spacing w:val="1"/>
          <w:sz w:val="14"/>
        </w:rPr>
        <w:t>thermische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Fassadennutzung</w:t>
      </w:r>
      <w:r>
        <w:rPr>
          <w:rFonts w:ascii="Theinhardt Regular"/>
          <w:sz w:val="14"/>
        </w:rPr>
      </w:r>
    </w:p>
    <w:p>
      <w:pPr>
        <w:spacing w:line="240" w:lineRule="auto" w:before="9"/>
        <w:rPr>
          <w:rFonts w:ascii="Theinhardt Regular" w:hAnsi="Theinhardt Regular" w:cs="Theinhardt Regular" w:eastAsia="Theinhardt Regular"/>
          <w:sz w:val="3"/>
          <w:szCs w:val="3"/>
        </w:rPr>
      </w:pPr>
    </w:p>
    <w:tbl>
      <w:tblPr>
        <w:tblW w:w="0" w:type="auto"/>
        <w:jc w:val="left"/>
        <w:tblInd w:w="5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5"/>
        <w:gridCol w:w="560"/>
        <w:gridCol w:w="626"/>
      </w:tblGrid>
      <w:tr>
        <w:trPr>
          <w:trHeight w:val="166" w:hRule="exact"/>
        </w:trPr>
        <w:tc>
          <w:tcPr>
            <w:tcW w:w="2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6" w:lineRule="exact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1"/>
                <w:sz w:val="14"/>
              </w:rPr>
              <w:t>Energiebilanz</w:t>
            </w:r>
            <w:r>
              <w:rPr>
                <w:rFonts w:ascii="Theinhardt Bold"/>
                <w:b/>
                <w:color w:val="231F20"/>
                <w:sz w:val="14"/>
              </w:rPr>
              <w:t> </w:t>
            </w:r>
            <w:r>
              <w:rPr>
                <w:rFonts w:ascii="Theinhardt Bold"/>
                <w:b/>
                <w:color w:val="231F20"/>
                <w:spacing w:val="1"/>
                <w:sz w:val="14"/>
              </w:rPr>
              <w:t>(Endenergie)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6" w:lineRule="exact"/>
              <w:ind w:left="321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%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6" w:lineRule="exact"/>
              <w:ind w:left="167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kWh/a</w:t>
            </w:r>
            <w:r>
              <w:rPr>
                <w:rFonts w:ascii="Theinhardt Regular"/>
                <w:sz w:val="14"/>
              </w:rPr>
            </w:r>
          </w:p>
        </w:tc>
      </w:tr>
      <w:tr>
        <w:trPr>
          <w:trHeight w:val="159" w:hRule="exact"/>
        </w:trPr>
        <w:tc>
          <w:tcPr>
            <w:tcW w:w="2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9" w:lineRule="exact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1"/>
                <w:sz w:val="14"/>
              </w:rPr>
              <w:t>Eigenenergieversorgung: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9" w:lineRule="exact"/>
              <w:ind w:left="204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-1"/>
                <w:sz w:val="14"/>
              </w:rPr>
              <w:t>156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9" w:lineRule="exact"/>
              <w:ind w:left="107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z w:val="14"/>
                <w:szCs w:val="14"/>
              </w:rPr>
              <w:t>34’887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  <w:tr>
        <w:trPr>
          <w:trHeight w:val="159" w:hRule="exact"/>
        </w:trPr>
        <w:tc>
          <w:tcPr>
            <w:tcW w:w="2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9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2"/>
                <w:sz w:val="14"/>
              </w:rPr>
              <w:t>Gesamtenergiebedarf: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9" w:lineRule="exact"/>
              <w:ind w:left="202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100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9" w:lineRule="exact"/>
              <w:ind w:left="120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1"/>
                <w:sz w:val="14"/>
                <w:szCs w:val="14"/>
              </w:rPr>
              <w:t>22’320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76" w:hRule="exact"/>
        </w:trPr>
        <w:tc>
          <w:tcPr>
            <w:tcW w:w="2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pacing w:val="2"/>
                <w:sz w:val="14"/>
              </w:rPr>
              <w:t>Solarstromüberschuss:</w:t>
            </w:r>
            <w:r>
              <w:rPr>
                <w:rFonts w:ascii="Theinhardt Regular" w:hAnsi="Theinhardt Regular"/>
                <w:sz w:val="14"/>
              </w:rPr>
            </w:r>
          </w:p>
        </w:tc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283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1"/>
                <w:sz w:val="14"/>
              </w:rPr>
              <w:t>56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112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z w:val="14"/>
                <w:szCs w:val="14"/>
              </w:rPr>
              <w:t>12’567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</w:tbl>
    <w:p>
      <w:pPr>
        <w:spacing w:line="160" w:lineRule="exact" w:before="28"/>
        <w:ind w:left="106" w:right="939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Bestätigt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von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2"/>
          <w:sz w:val="14"/>
        </w:rPr>
        <w:t>AECB </w:t>
      </w:r>
      <w:r>
        <w:rPr>
          <w:rFonts w:ascii="Theinhardt Regular" w:hAnsi="Theinhardt Regular"/>
          <w:color w:val="231F20"/>
          <w:sz w:val="14"/>
        </w:rPr>
        <w:t>am </w:t>
      </w:r>
      <w:r>
        <w:rPr>
          <w:rFonts w:ascii="Theinhardt Regular" w:hAnsi="Theinhardt Regular"/>
          <w:color w:val="231F20"/>
          <w:spacing w:val="-2"/>
          <w:sz w:val="14"/>
        </w:rPr>
        <w:t>14.06.2017</w:t>
      </w:r>
      <w:r>
        <w:rPr>
          <w:rFonts w:ascii="Theinhardt Regular" w:hAnsi="Theinhardt Regular"/>
          <w:color w:val="231F20"/>
          <w:spacing w:val="22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Plozza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Giancarlo,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Tel.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081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846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54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61</w:t>
      </w:r>
      <w:r>
        <w:rPr>
          <w:rFonts w:ascii="Theinhardt Regular" w:hAnsi="Theinhardt Regular"/>
          <w:sz w:val="14"/>
        </w:rPr>
      </w:r>
    </w:p>
    <w:p>
      <w:pPr>
        <w:spacing w:line="240" w:lineRule="auto" w:before="7"/>
        <w:rPr>
          <w:rFonts w:ascii="Theinhardt Regular" w:hAnsi="Theinhardt Regular" w:cs="Theinhardt Regular" w:eastAsia="Theinhardt Regular"/>
          <w:sz w:val="11"/>
          <w:szCs w:val="11"/>
        </w:rPr>
      </w:pPr>
    </w:p>
    <w:p>
      <w:pPr>
        <w:spacing w:before="0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color w:val="231F20"/>
          <w:spacing w:val="2"/>
          <w:sz w:val="14"/>
        </w:rPr>
        <w:t>Beteiligte</w:t>
      </w:r>
      <w:r>
        <w:rPr>
          <w:rFonts w:ascii="Theinhardt Black"/>
          <w:b/>
          <w:color w:val="231F20"/>
          <w:sz w:val="14"/>
        </w:rPr>
        <w:t> </w:t>
      </w:r>
      <w:r>
        <w:rPr>
          <w:rFonts w:ascii="Theinhardt Black"/>
          <w:b/>
          <w:color w:val="231F20"/>
          <w:spacing w:val="2"/>
          <w:sz w:val="14"/>
        </w:rPr>
        <w:t>Personen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60" w:lineRule="exact" w:before="28"/>
        <w:ind w:left="106" w:right="594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Bauherr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Standort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des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Gebäudes</w:t>
      </w:r>
      <w:r>
        <w:rPr>
          <w:rFonts w:ascii="Theinhardt Bold" w:hAnsi="Theinhardt Bold" w:cs="Theinhardt Bold" w:eastAsia="Theinhardt Bold"/>
          <w:b/>
          <w:bCs/>
          <w:color w:val="231F20"/>
          <w:spacing w:val="24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Planung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Ausführung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Haustechnik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Caotec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–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Haustechnik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spacing w:line="165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Dario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Cao</w:t>
      </w:r>
      <w:r>
        <w:rPr>
          <w:rFonts w:ascii="Theinhardt Regular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La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Pergola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5"/>
          <w:sz w:val="14"/>
        </w:rPr>
        <w:t>241,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7743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Brusio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081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846</w:t>
      </w:r>
      <w:r>
        <w:rPr>
          <w:rFonts w:ascii="Theinhardt Regular"/>
          <w:color w:val="231F20"/>
          <w:sz w:val="14"/>
        </w:rPr>
        <w:t> 55 </w:t>
      </w:r>
      <w:r>
        <w:rPr>
          <w:rFonts w:ascii="Theinhardt Regular"/>
          <w:color w:val="231F20"/>
          <w:spacing w:val="-1"/>
          <w:sz w:val="14"/>
        </w:rPr>
        <w:t>5</w:t>
      </w:r>
      <w:hyperlink r:id="rId6">
        <w:r>
          <w:rPr>
            <w:rFonts w:ascii="Theinhardt Regular"/>
            <w:color w:val="231F20"/>
            <w:spacing w:val="-1"/>
            <w:sz w:val="14"/>
          </w:rPr>
          <w:t>2,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info@caotec.ch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Architektur,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Bauphysik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und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Energie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Fanzun</w:t>
      </w:r>
      <w:r>
        <w:rPr>
          <w:rFonts w:ascii="Theinhardt Regular"/>
          <w:color w:val="231F20"/>
          <w:sz w:val="14"/>
        </w:rPr>
        <w:t> AG</w:t>
      </w:r>
      <w:r>
        <w:rPr>
          <w:rFonts w:ascii="Theinhardt Regular"/>
          <w:sz w:val="14"/>
        </w:rPr>
      </w:r>
    </w:p>
    <w:p>
      <w:pPr>
        <w:spacing w:line="207" w:lineRule="auto" w:before="6"/>
        <w:ind w:left="106" w:right="594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Salvatorenstrasse</w:t>
      </w:r>
      <w:r>
        <w:rPr>
          <w:rFonts w:ascii="Theinhardt Regular"/>
          <w:color w:val="231F20"/>
          <w:sz w:val="14"/>
        </w:rPr>
        <w:t> 66, </w:t>
      </w:r>
      <w:r>
        <w:rPr>
          <w:rFonts w:ascii="Theinhardt Regular"/>
          <w:color w:val="231F20"/>
          <w:spacing w:val="1"/>
          <w:sz w:val="14"/>
        </w:rPr>
        <w:t>7000</w:t>
      </w:r>
      <w:r>
        <w:rPr>
          <w:rFonts w:ascii="Theinhardt Regular"/>
          <w:color w:val="231F20"/>
          <w:sz w:val="14"/>
        </w:rPr>
        <w:t> Chur</w:t>
      </w:r>
      <w:hyperlink r:id="rId7">
        <w:r>
          <w:rPr>
            <w:rFonts w:ascii="Theinhardt Regular"/>
            <w:color w:val="231F20"/>
            <w:spacing w:val="28"/>
            <w:sz w:val="14"/>
          </w:rPr>
          <w:t> </w:t>
        </w:r>
        <w:r>
          <w:rPr>
            <w:rFonts w:ascii="Theinhardt Regular"/>
            <w:color w:val="231F20"/>
            <w:spacing w:val="2"/>
            <w:sz w:val="14"/>
          </w:rPr>
          <w:t>www.fanzun.swiss,</w:t>
        </w:r>
      </w:hyperlink>
      <w:r>
        <w:rPr>
          <w:rFonts w:ascii="Theinhardt Regular"/>
          <w:color w:val="231F20"/>
          <w:sz w:val="14"/>
        </w:rPr>
        <w:t> </w:t>
      </w:r>
      <w:hyperlink r:id="rId8">
        <w:r>
          <w:rPr>
            <w:rFonts w:ascii="Theinhardt Regular"/>
            <w:color w:val="231F20"/>
            <w:spacing w:val="2"/>
            <w:sz w:val="14"/>
          </w:rPr>
          <w:t>info@fanzun.swiss</w:t>
        </w:r>
        <w:r>
          <w:rPr>
            <w:rFonts w:ascii="Theinhardt Regular"/>
            <w:sz w:val="14"/>
          </w:rPr>
        </w:r>
      </w:hyperlink>
    </w:p>
    <w:p>
      <w:pPr>
        <w:spacing w:after="0" w:line="207" w:lineRule="auto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63" w:space="109"/>
            <w:col w:w="3453" w:space="119"/>
            <w:col w:w="3566"/>
          </w:cols>
        </w:sectPr>
      </w:pPr>
    </w:p>
    <w:p>
      <w:pPr>
        <w:spacing w:line="240" w:lineRule="auto" w:before="3"/>
        <w:rPr>
          <w:rFonts w:ascii="Theinhardt Regular" w:hAnsi="Theinhardt Regular" w:cs="Theinhardt Regular" w:eastAsia="Theinhardt Regular"/>
          <w:sz w:val="3"/>
          <w:szCs w:val="3"/>
        </w:rPr>
      </w:pPr>
    </w:p>
    <w:p>
      <w:pPr>
        <w:spacing w:line="20" w:lineRule="atLeast"/>
        <w:ind w:left="7250" w:right="0" w:firstLine="0"/>
        <w:rPr>
          <w:rFonts w:ascii="Theinhardt Regular" w:hAnsi="Theinhardt Regular" w:cs="Theinhardt Regular" w:eastAsia="Theinhardt Regular"/>
          <w:sz w:val="2"/>
          <w:szCs w:val="2"/>
        </w:rPr>
      </w:pPr>
      <w:r>
        <w:rPr>
          <w:rFonts w:ascii="Theinhardt Regular" w:hAnsi="Theinhardt Regular" w:cs="Theinhardt Regular" w:eastAsia="Theinhardt Regular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Regular" w:hAnsi="Theinhardt Regular" w:cs="Theinhardt Regular" w:eastAsia="Theinhardt Regular"/>
          <w:sz w:val="2"/>
          <w:szCs w:val="2"/>
        </w:rPr>
      </w: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5"/>
        <w:rPr>
          <w:rFonts w:ascii="Theinhardt Regular" w:hAnsi="Theinhardt Regular" w:cs="Theinhardt Regular" w:eastAsia="Theinhardt Regular"/>
          <w:sz w:val="25"/>
          <w:szCs w:val="25"/>
        </w:rPr>
      </w:pPr>
    </w:p>
    <w:p>
      <w:pPr>
        <w:spacing w:before="7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40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2017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2017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</w:sectPr>
      </w:pPr>
    </w:p>
    <w:p>
      <w:pPr>
        <w:spacing w:line="240" w:lineRule="auto" w:before="6"/>
        <w:rPr>
          <w:rFonts w:ascii="Theinhardt Regular" w:hAnsi="Theinhardt Regular" w:cs="Theinhardt Regular" w:eastAsia="Theinhardt Regular"/>
          <w:sz w:val="5"/>
          <w:szCs w:val="5"/>
        </w:rPr>
      </w:pPr>
    </w:p>
    <w:p>
      <w:pPr>
        <w:spacing w:line="200" w:lineRule="atLeast"/>
        <w:ind w:left="111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670398" cy="2749296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398" cy="274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before="9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"/>
          <w:szCs w:val="2"/>
        </w:rPr>
      </w:pPr>
    </w:p>
    <w:p>
      <w:pPr>
        <w:spacing w:line="200" w:lineRule="atLeast"/>
        <w:ind w:left="110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 w:hAnsi="Theinhardt Bold" w:cs="Theinhardt Bold" w:eastAsia="Theinhardt Bold"/>
          <w:sz w:val="20"/>
          <w:szCs w:val="20"/>
        </w:rPr>
        <w:drawing>
          <wp:inline distT="0" distB="0" distL="0" distR="0">
            <wp:extent cx="6672892" cy="2389631"/>
            <wp:effectExtent l="0" t="0" r="0" b="0"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892" cy="238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 w:hAnsi="Theinhardt Bold" w:cs="Theinhardt Bold" w:eastAsia="Theinhardt Bold"/>
          <w:sz w:val="20"/>
          <w:szCs w:val="20"/>
        </w:rPr>
      </w:r>
    </w:p>
    <w:p>
      <w:pPr>
        <w:spacing w:before="8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"/>
          <w:szCs w:val="2"/>
        </w:rPr>
      </w:pPr>
    </w:p>
    <w:p>
      <w:pPr>
        <w:tabs>
          <w:tab w:pos="7252" w:val="left" w:leader="none"/>
        </w:tabs>
        <w:spacing w:line="200" w:lineRule="atLeast"/>
        <w:ind w:left="110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/>
          <w:sz w:val="20"/>
        </w:rPr>
        <w:drawing>
          <wp:inline distT="0" distB="0" distL="0" distR="0">
            <wp:extent cx="4399330" cy="2310384"/>
            <wp:effectExtent l="0" t="0" r="0" b="0"/>
            <wp:docPr id="5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330" cy="231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  <w:r>
        <w:rPr>
          <w:rFonts w:ascii="Theinhardt Bold"/>
          <w:sz w:val="20"/>
        </w:rPr>
        <w:tab/>
      </w:r>
      <w:r>
        <w:rPr>
          <w:rFonts w:ascii="Theinhardt Bold"/>
          <w:sz w:val="20"/>
        </w:rPr>
        <w:drawing>
          <wp:inline distT="0" distB="0" distL="0" distR="0">
            <wp:extent cx="2125650" cy="2307336"/>
            <wp:effectExtent l="0" t="0" r="0" b="0"/>
            <wp:docPr id="7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650" cy="230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</w:p>
    <w:p>
      <w:pPr>
        <w:tabs>
          <w:tab w:pos="7252" w:val="left" w:leader="none"/>
        </w:tabs>
        <w:spacing w:before="9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3</w:t>
        <w:tab/>
        <w:t>4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6"/>
        <w:rPr>
          <w:rFonts w:ascii="Theinhardt Bold" w:hAnsi="Theinhardt Bold" w:cs="Theinhardt Bold" w:eastAsia="Theinhardt Bold"/>
          <w:b/>
          <w:bCs/>
          <w:sz w:val="15"/>
          <w:szCs w:val="15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15"/>
          <w:szCs w:val="15"/>
        </w:rPr>
        <w:sectPr>
          <w:pgSz w:w="11910" w:h="16840"/>
          <w:pgMar w:top="860" w:bottom="280" w:left="740" w:right="460"/>
        </w:sectPr>
      </w:pPr>
    </w:p>
    <w:p>
      <w:pPr>
        <w:numPr>
          <w:ilvl w:val="0"/>
          <w:numId w:val="2"/>
        </w:numPr>
        <w:tabs>
          <w:tab w:pos="338" w:val="left" w:leader="none"/>
        </w:tabs>
        <w:spacing w:line="160" w:lineRule="exact" w:before="76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Aus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Vogelperspektive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ist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PV-Anlage auf</w:t>
      </w:r>
      <w:r>
        <w:rPr>
          <w:rFonts w:ascii="Theinhardt Bold" w:hAnsi="Theinhardt Bold" w:cs="Theinhardt Bold" w:eastAsia="Theinhardt Bold"/>
          <w:b/>
          <w:bCs/>
          <w:color w:val="231F20"/>
          <w:spacing w:val="4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dem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Lagerraum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Caotec – Haustechnik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AG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erkennbar.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2"/>
        </w:numPr>
        <w:tabs>
          <w:tab w:pos="338" w:val="left" w:leader="none"/>
        </w:tabs>
        <w:spacing w:line="160" w:lineRule="exact" w:before="76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br w:type="column"/>
        <w:t>Die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PV-Dach-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und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Fassadenanlagen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produzieren</w:t>
      </w:r>
      <w:r>
        <w:rPr>
          <w:rFonts w:ascii="Theinhardt Bold" w:hAnsi="Theinhardt Bold" w:cs="Theinhardt Bold" w:eastAsia="Theinhardt Bold"/>
          <w:b/>
          <w:bCs/>
          <w:color w:val="231F20"/>
          <w:spacing w:val="6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zusammen 23’200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Strom.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Die thermische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Solarenergie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wird teilweise aus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Fassade</w:t>
      </w:r>
      <w:r>
        <w:rPr>
          <w:rFonts w:ascii="Theinhardt Bold" w:hAnsi="Theinhardt Bold" w:cs="Theinhardt Bold" w:eastAsia="Theinhardt Bold"/>
          <w:b/>
          <w:bCs/>
          <w:color w:val="231F20"/>
          <w:spacing w:val="39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gewonnen.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2"/>
        </w:numPr>
        <w:tabs>
          <w:tab w:pos="338" w:val="left" w:leader="none"/>
        </w:tabs>
        <w:spacing w:line="160" w:lineRule="exact" w:before="76"/>
        <w:ind w:left="337" w:right="104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br w:type="column"/>
        <w:t>Das</w:t>
      </w:r>
      <w:r>
        <w:rPr>
          <w:rFonts w:ascii="Theinhardt Bold" w:hAnsi="Theinhardt Bold"/>
          <w:b/>
          <w:color w:val="231F20"/>
          <w:spacing w:val="-1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unsanierte</w:t>
      </w:r>
      <w:r>
        <w:rPr>
          <w:rFonts w:ascii="Theinhardt Bold" w:hAnsi="Theinhardt Bold"/>
          <w:b/>
          <w:color w:val="231F20"/>
          <w:spacing w:val="-1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Bürogebäude</w:t>
      </w:r>
      <w:r>
        <w:rPr>
          <w:rFonts w:ascii="Theinhardt Bold" w:hAnsi="Theinhardt Bold"/>
          <w:b/>
          <w:color w:val="231F20"/>
          <w:spacing w:val="-1"/>
          <w:sz w:val="14"/>
        </w:rPr>
        <w:t> verschlang </w:t>
      </w:r>
      <w:r>
        <w:rPr>
          <w:rFonts w:ascii="Theinhardt Bold" w:hAnsi="Theinhardt Bold"/>
          <w:b/>
          <w:color w:val="231F20"/>
          <w:sz w:val="14"/>
        </w:rPr>
        <w:t>fünfmal</w:t>
      </w:r>
      <w:r>
        <w:rPr>
          <w:rFonts w:ascii="Theinhardt Bold" w:hAnsi="Theinhardt Bold"/>
          <w:b/>
          <w:color w:val="231F20"/>
          <w:spacing w:val="26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mehr </w:t>
      </w:r>
      <w:r>
        <w:rPr>
          <w:rFonts w:ascii="Theinhardt Bold" w:hAnsi="Theinhardt Bold"/>
          <w:b/>
          <w:color w:val="231F20"/>
          <w:spacing w:val="-1"/>
          <w:sz w:val="14"/>
        </w:rPr>
        <w:t>Energie</w:t>
      </w:r>
      <w:r>
        <w:rPr>
          <w:rFonts w:ascii="Theinhardt Bold" w:hAnsi="Theinhardt Bold"/>
          <w:b/>
          <w:color w:val="231F20"/>
          <w:sz w:val="14"/>
        </w:rPr>
        <w:t> als heute.</w:t>
      </w:r>
      <w:r>
        <w:rPr>
          <w:rFonts w:ascii="Theinhardt Bold" w:hAnsi="Theinhardt Bold"/>
          <w:sz w:val="14"/>
        </w:rPr>
      </w:r>
    </w:p>
    <w:p>
      <w:pPr>
        <w:numPr>
          <w:ilvl w:val="0"/>
          <w:numId w:val="2"/>
        </w:numPr>
        <w:tabs>
          <w:tab w:pos="338" w:val="left" w:leader="none"/>
        </w:tabs>
        <w:spacing w:line="160" w:lineRule="exact" w:before="0"/>
        <w:ind w:left="337" w:right="448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Die fassadenintegrierten </w:t>
      </w:r>
      <w:r>
        <w:rPr>
          <w:rFonts w:ascii="Theinhardt Bold" w:hAnsi="Theinhardt Bold"/>
          <w:b/>
          <w:color w:val="231F20"/>
          <w:spacing w:val="-1"/>
          <w:sz w:val="14"/>
        </w:rPr>
        <w:t>Hybridkollektoren</w:t>
      </w:r>
      <w:r>
        <w:rPr>
          <w:rFonts w:ascii="Theinhardt Bold" w:hAnsi="Theinhardt Bold"/>
          <w:b/>
          <w:color w:val="231F20"/>
          <w:spacing w:val="29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versorgen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den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autarken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Bürobereich.</w:t>
      </w:r>
      <w:r>
        <w:rPr>
          <w:rFonts w:ascii="Theinhardt Bold" w:hAnsi="Theinhardt Bold"/>
          <w:sz w:val="14"/>
        </w:rPr>
      </w:r>
    </w:p>
    <w:p>
      <w:pPr>
        <w:spacing w:after="0" w:line="160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740" w:right="460"/>
          <w:cols w:num="3" w:equalWidth="0">
            <w:col w:w="3334" w:space="237"/>
            <w:col w:w="3449" w:space="123"/>
            <w:col w:w="3567"/>
          </w:cols>
        </w:sectPr>
      </w:pPr>
    </w:p>
    <w:p>
      <w:pPr>
        <w:spacing w:line="240" w:lineRule="auto" w:before="11"/>
        <w:rPr>
          <w:rFonts w:ascii="Theinhardt Bold" w:hAnsi="Theinhardt Bold" w:cs="Theinhardt Bold" w:eastAsia="Theinhardt Bold"/>
          <w:b/>
          <w:bCs/>
          <w:sz w:val="22"/>
          <w:szCs w:val="22"/>
        </w:rPr>
      </w:pPr>
    </w:p>
    <w:p>
      <w:pPr>
        <w:spacing w:before="70"/>
        <w:ind w:left="666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2017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2017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41</w:t>
      </w:r>
      <w:r>
        <w:rPr>
          <w:rFonts w:ascii="Theinhardt Heavy"/>
          <w:sz w:val="14"/>
        </w:rPr>
      </w:r>
    </w:p>
    <w:sectPr>
      <w:type w:val="continuous"/>
      <w:pgSz w:w="11910" w:h="16840"/>
      <w:pgMar w:top="840" w:bottom="280" w:left="7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"/>
      <w:lvlJc w:val="left"/>
      <w:pPr>
        <w:ind w:left="337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36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36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36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35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35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35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34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34" w:hanging="227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99" w:hanging="327"/>
        <w:jc w:val="left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99" w:hanging="327"/>
        <w:jc w:val="left"/>
      </w:pPr>
      <w:rPr>
        <w:rFonts w:hint="default" w:ascii="Theinhardt Regular" w:hAnsi="Theinhardt Regular" w:eastAsia="Theinhardt Regular"/>
        <w:color w:val="231F20"/>
        <w:sz w:val="14"/>
        <w:szCs w:val="14"/>
      </w:rPr>
    </w:lvl>
    <w:lvl w:ilvl="2">
      <w:start w:val="1"/>
      <w:numFmt w:val="bullet"/>
      <w:lvlText w:val="•"/>
      <w:lvlJc w:val="left"/>
      <w:pPr>
        <w:ind w:left="496" w:hanging="3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44" w:hanging="3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2" w:hanging="3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0" w:hanging="3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8" w:hanging="3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7" w:hanging="3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5" w:hanging="327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6" w:firstLine="226"/>
    </w:pPr>
    <w:rPr>
      <w:rFonts w:ascii="Theinhardt Regular" w:hAnsi="Theinhardt Regular" w:eastAsia="Theinhardt Regular"/>
      <w:sz w:val="18"/>
      <w:szCs w:val="18"/>
    </w:rPr>
  </w:style>
  <w:style w:styleId="Heading1" w:type="paragraph">
    <w:name w:val="Heading 1"/>
    <w:basedOn w:val="Normal"/>
    <w:uiPriority w:val="1"/>
    <w:qFormat/>
    <w:pPr>
      <w:spacing w:before="28"/>
      <w:ind w:left="106"/>
      <w:outlineLvl w:val="1"/>
    </w:pPr>
    <w:rPr>
      <w:rFonts w:ascii="Theinhardt Bold" w:hAnsi="Theinhardt Bold" w:eastAsia="Theinhardt Bold"/>
      <w:b/>
      <w:bCs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mailto:info@caotec.ch" TargetMode="External"/><Relationship Id="rId7" Type="http://schemas.openxmlformats.org/officeDocument/2006/relationships/hyperlink" Target="http://www.fanzun.swiss/" TargetMode="External"/><Relationship Id="rId8" Type="http://schemas.openxmlformats.org/officeDocument/2006/relationships/hyperlink" Target="mailto:info@fanzun.swiss" TargetMode="External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2017-09-21T11:26:12Z</dcterms:created>
  <dcterms:modified xsi:type="dcterms:W3CDTF">2017-09-21T11:26:12Z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2017-09-20T00:00:00Z</vt:filetime>
  </property>
  <property fmtid="{D5CDD505-2E9C-101B-9397-08002B2CF9AE}" pid="3" name="LastSaved">
    <vt:filetime>2017-09-21T00:00:00Z</vt:filetime>
  </property>
</Properties>
</file>