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9" w:val="left" w:leader="none"/>
        </w:tabs>
        <w:spacing w:line="230" w:lineRule="exact" w:before="28"/>
        <w:ind w:left="110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7323pt;margin-top:13.647326pt;width:.1pt;height:.1pt;mso-position-horizontal-relative:page;mso-position-vertical-relative:paragraph;z-index:-7696" coordorigin="855,273" coordsize="2,2">
            <v:shape style="position:absolute;left:855;top:273;width:2;height:2" coordorigin="855,273" coordsize="0,0" path="m855,273l855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13.647326pt;width:.1pt;height:.1pt;mso-position-horizontal-relative:page;mso-position-vertical-relative:paragraph;z-index:1144" coordorigin="3298,273" coordsize="2,2">
            <v:shape style="position:absolute;left:3298;top:273;width:2;height:2" coordorigin="3298,273" coordsize="0,0" path="m3298,273l3298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42.7323pt;margin-top:25.147326pt;width:.1pt;height:.1pt;mso-position-horizontal-relative:page;mso-position-vertical-relative:paragraph;z-index:-7648" coordorigin="855,503" coordsize="2,2">
            <v:shape style="position:absolute;left:855;top:503;width:2;height:2" coordorigin="855,503" coordsize="0,0" path="m855,503l855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25.147326pt;width:.1pt;height:.1pt;mso-position-horizontal-relative:page;mso-position-vertical-relative:paragraph;z-index:1192" coordorigin="3298,503" coordsize="2,2">
            <v:shape style="position:absolute;left:3298;top:503;width:2;height:2" coordorigin="3298,503" coordsize="0,0" path="m3298,503l3298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42.520302pt;margin-top:52.320927pt;width:82.2043pt;height:60.2045pt;mso-position-horizontal-relative:page;mso-position-vertical-relative:paragraph;z-index:1216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2017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10" w:right="158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70er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Jahren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erbaute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Mehrfamilienhaus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(MFH)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Caviezel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Wil/SG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saniert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4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294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color w:val="231F20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oder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84%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erweitert.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MFH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konsumierte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vor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Sanierung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76’500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Minergie-P-Dämmung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innovativen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Lüftungskonzept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sank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Gesamtenergie-</w:t>
      </w:r>
      <w:r>
        <w:rPr>
          <w:rFonts w:ascii="Theinhardt Bold" w:hAnsi="Theinhardt Bold" w:cs="Theinhardt Bold" w:eastAsia="Theinhardt Bold"/>
          <w:b/>
          <w:bCs/>
          <w:color w:val="231F20"/>
          <w:spacing w:val="6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73%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20’800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dach-,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first-,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seiten-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traufbündig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vorbildlich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integ-</w:t>
      </w:r>
      <w:r>
        <w:rPr>
          <w:rFonts w:ascii="Theinhardt Bold" w:hAnsi="Theinhardt Bold" w:cs="Theinhardt Bold" w:eastAsia="Theinhardt Bold"/>
          <w:b/>
          <w:bCs/>
          <w:color w:val="231F20"/>
          <w:spacing w:val="6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rierte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30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monokristallinen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Solarzellen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30’000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si-</w:t>
      </w:r>
      <w:r>
        <w:rPr>
          <w:rFonts w:ascii="Theinhardt Bold" w:hAnsi="Theinhardt Bold" w:cs="Theinhardt Bold" w:eastAsia="Theinhardt Bold"/>
          <w:b/>
          <w:bCs/>
          <w:color w:val="231F20"/>
          <w:spacing w:val="8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chert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zusammen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Wärmegewinn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Lucido-Fassade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jährlichen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Energieüberschuss</w:t>
      </w:r>
      <w:r>
        <w:rPr>
          <w:rFonts w:ascii="Theinhardt Bold" w:hAnsi="Theinhardt Bold" w:cs="Theinhardt Bold" w:eastAsia="Theinhardt Bold"/>
          <w:b/>
          <w:bCs/>
          <w:color w:val="231F20"/>
          <w:spacing w:val="9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50%.</w:t>
      </w:r>
      <w:r>
        <w:rPr>
          <w:rFonts w:ascii="Theinhardt Bold" w:hAnsi="Theinhardt Bold" w:cs="Theinhardt Bold" w:eastAsia="Theinhardt Bold"/>
          <w:b/>
          <w:bCs/>
          <w:color w:val="231F20"/>
          <w:spacing w:val="-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10’400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können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sieben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Elektroautos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je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6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12’000 km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pro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Jahr CO</w:t>
      </w:r>
      <w:r>
        <w:rPr>
          <w:rFonts w:ascii="Theinhardt Bold" w:hAnsi="Theinhardt Bold" w:cs="Theinhardt Bold" w:eastAsia="Theinhardt Bold"/>
          <w:b/>
          <w:bCs/>
          <w:color w:val="231F20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-frei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fahren.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00"/>
          <w:cols w:num="2" w:equalWidth="0">
            <w:col w:w="2550" w:space="129"/>
            <w:col w:w="809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>150%-PEB-Sanierung MFH Caviezel, 9500 Wil/SG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740" w:right="40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</w:rPr>
        <w:t>Der</w:t>
      </w:r>
      <w:r>
        <w:rPr>
          <w:color w:val="231F20"/>
          <w:spacing w:val="31"/>
        </w:rPr>
        <w:t> </w:t>
      </w:r>
      <w:r>
        <w:rPr>
          <w:color w:val="231F20"/>
        </w:rPr>
        <w:t>PlusEnergieBau</w:t>
      </w:r>
      <w:r>
        <w:rPr>
          <w:color w:val="231F20"/>
          <w:spacing w:val="32"/>
        </w:rPr>
        <w:t> </w:t>
      </w:r>
      <w:r>
        <w:rPr>
          <w:color w:val="231F20"/>
        </w:rPr>
        <w:t>Caviezel</w:t>
      </w:r>
      <w:r>
        <w:rPr>
          <w:color w:val="231F20"/>
          <w:spacing w:val="31"/>
        </w:rPr>
        <w:t> </w:t>
      </w:r>
      <w:r>
        <w:rPr>
          <w:color w:val="231F20"/>
        </w:rPr>
        <w:t>wurde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ener-</w:t>
      </w:r>
      <w:r>
        <w:rPr>
          <w:color w:val="231F20"/>
          <w:spacing w:val="24"/>
        </w:rPr>
        <w:t> </w:t>
      </w:r>
      <w:r>
        <w:rPr>
          <w:color w:val="231F20"/>
        </w:rPr>
        <w:t>getisch</w:t>
      </w:r>
      <w:r>
        <w:rPr>
          <w:color w:val="231F20"/>
          <w:spacing w:val="-9"/>
        </w:rPr>
        <w:t> </w:t>
      </w:r>
      <w:r>
        <w:rPr>
          <w:color w:val="231F20"/>
        </w:rPr>
        <w:t>optimal</w:t>
      </w:r>
      <w:r>
        <w:rPr>
          <w:color w:val="231F20"/>
          <w:spacing w:val="-9"/>
        </w:rPr>
        <w:t> </w:t>
      </w:r>
      <w:r>
        <w:rPr>
          <w:color w:val="231F20"/>
        </w:rPr>
        <w:t>saniert</w:t>
      </w:r>
      <w:r>
        <w:rPr>
          <w:color w:val="231F20"/>
          <w:spacing w:val="-8"/>
        </w:rPr>
        <w:t> </w:t>
      </w:r>
      <w:r>
        <w:rPr>
          <w:color w:val="231F20"/>
        </w:rPr>
        <w:t>und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-9"/>
        </w:rPr>
        <w:t> </w:t>
      </w:r>
      <w:r>
        <w:rPr>
          <w:color w:val="231F20"/>
        </w:rPr>
        <w:t>294</w:t>
      </w:r>
      <w:r>
        <w:rPr>
          <w:color w:val="231F20"/>
          <w:spacing w:val="-8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</w:rPr>
        <w:t>2</w:t>
      </w:r>
      <w:r>
        <w:rPr>
          <w:color w:val="231F20"/>
          <w:spacing w:val="12"/>
          <w:position w:val="6"/>
          <w:sz w:val="10"/>
        </w:rPr>
        <w:t> </w:t>
      </w:r>
      <w:r>
        <w:rPr>
          <w:color w:val="231F20"/>
        </w:rPr>
        <w:t>oder</w:t>
      </w:r>
      <w:r>
        <w:rPr>
          <w:color w:val="231F20"/>
        </w:rPr>
        <w:t> 84%</w:t>
      </w:r>
      <w:r>
        <w:rPr>
          <w:color w:val="231F20"/>
          <w:spacing w:val="30"/>
        </w:rPr>
        <w:t> </w:t>
      </w:r>
      <w:r>
        <w:rPr>
          <w:color w:val="231F20"/>
        </w:rPr>
        <w:t>erweitert.</w:t>
      </w:r>
      <w:r>
        <w:rPr>
          <w:color w:val="231F20"/>
          <w:spacing w:val="31"/>
        </w:rPr>
        <w:t> </w:t>
      </w:r>
      <w:r>
        <w:rPr>
          <w:color w:val="231F20"/>
        </w:rPr>
        <w:t>Das</w:t>
      </w:r>
      <w:r>
        <w:rPr>
          <w:color w:val="231F20"/>
          <w:spacing w:val="30"/>
        </w:rPr>
        <w:t> </w:t>
      </w:r>
      <w:r>
        <w:rPr>
          <w:color w:val="231F20"/>
        </w:rPr>
        <w:t>Gebäude</w:t>
      </w:r>
      <w:r>
        <w:rPr>
          <w:color w:val="231F20"/>
          <w:spacing w:val="31"/>
        </w:rPr>
        <w:t> </w:t>
      </w:r>
      <w:r>
        <w:rPr>
          <w:color w:val="231F20"/>
        </w:rPr>
        <w:t>besteht</w:t>
      </w:r>
      <w:r>
        <w:rPr>
          <w:color w:val="231F20"/>
          <w:spacing w:val="31"/>
        </w:rPr>
        <w:t> </w:t>
      </w:r>
      <w:r>
        <w:rPr>
          <w:color w:val="231F20"/>
        </w:rPr>
        <w:t>aus</w:t>
      </w:r>
      <w:r>
        <w:rPr>
          <w:color w:val="231F20"/>
        </w:rPr>
        <w:t> vier</w:t>
      </w:r>
      <w:r>
        <w:rPr>
          <w:color w:val="231F20"/>
          <w:spacing w:val="2"/>
        </w:rPr>
        <w:t> </w:t>
      </w:r>
      <w:r>
        <w:rPr>
          <w:color w:val="231F20"/>
        </w:rPr>
        <w:t>Wohneinheiten.</w:t>
      </w:r>
      <w:r>
        <w:rPr>
          <w:color w:val="231F20"/>
          <w:spacing w:val="2"/>
        </w:rPr>
        <w:t> </w:t>
      </w:r>
      <w:r>
        <w:rPr>
          <w:color w:val="231F20"/>
        </w:rPr>
        <w:t>Alle</w:t>
      </w:r>
      <w:r>
        <w:rPr>
          <w:color w:val="231F20"/>
          <w:spacing w:val="2"/>
        </w:rPr>
        <w:t> </w:t>
      </w:r>
      <w:r>
        <w:rPr>
          <w:color w:val="231F20"/>
        </w:rPr>
        <w:t>Wohnungen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verfü-</w:t>
      </w:r>
      <w:r>
        <w:rPr>
          <w:color w:val="231F20"/>
          <w:spacing w:val="25"/>
        </w:rPr>
        <w:t> </w:t>
      </w:r>
      <w:r>
        <w:rPr>
          <w:color w:val="231F20"/>
        </w:rPr>
        <w:t>gen</w:t>
      </w:r>
      <w:r>
        <w:rPr>
          <w:color w:val="231F20"/>
          <w:spacing w:val="-2"/>
        </w:rPr>
        <w:t> </w:t>
      </w:r>
      <w:r>
        <w:rPr>
          <w:color w:val="231F20"/>
        </w:rPr>
        <w:t>über</w:t>
      </w:r>
      <w:r>
        <w:rPr>
          <w:color w:val="231F20"/>
          <w:spacing w:val="-2"/>
        </w:rPr>
        <w:t> </w:t>
      </w:r>
      <w:r>
        <w:rPr>
          <w:color w:val="231F20"/>
        </w:rPr>
        <w:t>einen</w:t>
      </w:r>
      <w:r>
        <w:rPr>
          <w:color w:val="231F20"/>
          <w:spacing w:val="-2"/>
        </w:rPr>
        <w:t> </w:t>
      </w:r>
      <w:r>
        <w:rPr>
          <w:color w:val="231F20"/>
        </w:rPr>
        <w:t>Starkstromanschluss</w:t>
      </w:r>
      <w:r>
        <w:rPr>
          <w:color w:val="231F20"/>
          <w:spacing w:val="-2"/>
        </w:rPr>
        <w:t> </w:t>
      </w:r>
      <w:r>
        <w:rPr>
          <w:color w:val="231F20"/>
        </w:rPr>
        <w:t>für</w:t>
      </w:r>
      <w:r>
        <w:rPr>
          <w:color w:val="231F20"/>
          <w:spacing w:val="-2"/>
        </w:rPr>
        <w:t> </w:t>
      </w:r>
      <w:r>
        <w:rPr>
          <w:color w:val="231F20"/>
        </w:rPr>
        <w:t>die</w:t>
      </w:r>
      <w:r>
        <w:rPr>
          <w:color w:val="231F20"/>
        </w:rPr>
        <w:t> eMobilität.</w:t>
      </w:r>
      <w:r>
        <w:rPr/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color w:val="231F20"/>
          <w:spacing w:val="-1"/>
        </w:rPr>
        <w:t>vereinfacht.</w:t>
      </w:r>
      <w:r>
        <w:rPr>
          <w:color w:val="231F20"/>
          <w:spacing w:val="-23"/>
        </w:rPr>
        <w:t> </w:t>
      </w:r>
      <w:r>
        <w:rPr>
          <w:color w:val="231F20"/>
        </w:rPr>
        <w:t>Die</w:t>
      </w:r>
      <w:r>
        <w:rPr>
          <w:color w:val="231F20"/>
          <w:spacing w:val="-12"/>
        </w:rPr>
        <w:t> </w:t>
      </w:r>
      <w:r>
        <w:rPr>
          <w:color w:val="231F20"/>
        </w:rPr>
        <w:t>Energie</w:t>
      </w:r>
      <w:r>
        <w:rPr>
          <w:color w:val="231F20"/>
          <w:spacing w:val="-12"/>
        </w:rPr>
        <w:t> </w:t>
      </w:r>
      <w:r>
        <w:rPr>
          <w:color w:val="231F20"/>
        </w:rPr>
        <w:t>der</w:t>
      </w:r>
      <w:r>
        <w:rPr>
          <w:color w:val="231F20"/>
          <w:spacing w:val="-12"/>
        </w:rPr>
        <w:t> </w:t>
      </w:r>
      <w:r>
        <w:rPr>
          <w:color w:val="231F20"/>
        </w:rPr>
        <w:t>Abluft</w:t>
      </w:r>
      <w:r>
        <w:rPr>
          <w:color w:val="231F20"/>
          <w:spacing w:val="-12"/>
        </w:rPr>
        <w:t> </w:t>
      </w:r>
      <w:r>
        <w:rPr>
          <w:color w:val="231F20"/>
        </w:rPr>
        <w:t>wird</w:t>
      </w:r>
      <w:r>
        <w:rPr>
          <w:color w:val="231F20"/>
          <w:spacing w:val="-12"/>
        </w:rPr>
        <w:t> </w:t>
      </w:r>
      <w:r>
        <w:rPr>
          <w:color w:val="231F20"/>
        </w:rPr>
        <w:t>über</w:t>
      </w:r>
      <w:r>
        <w:rPr>
          <w:color w:val="231F20"/>
          <w:spacing w:val="29"/>
        </w:rPr>
        <w:t> </w:t>
      </w:r>
      <w:r>
        <w:rPr>
          <w:color w:val="231F20"/>
        </w:rPr>
        <w:t>eine</w:t>
      </w:r>
      <w:r>
        <w:rPr>
          <w:color w:val="231F20"/>
          <w:spacing w:val="42"/>
        </w:rPr>
        <w:t> </w:t>
      </w:r>
      <w:r>
        <w:rPr>
          <w:color w:val="231F20"/>
        </w:rPr>
        <w:t>Luft-Wasser</w:t>
      </w:r>
      <w:r>
        <w:rPr>
          <w:color w:val="231F20"/>
          <w:spacing w:val="43"/>
        </w:rPr>
        <w:t> </w:t>
      </w:r>
      <w:r>
        <w:rPr>
          <w:color w:val="231F20"/>
        </w:rPr>
        <w:t>Wärmepumpe</w:t>
      </w:r>
      <w:r>
        <w:rPr>
          <w:color w:val="231F20"/>
          <w:spacing w:val="42"/>
        </w:rPr>
        <w:t> </w:t>
      </w:r>
      <w:r>
        <w:rPr>
          <w:color w:val="231F20"/>
        </w:rPr>
        <w:t>für</w:t>
      </w:r>
      <w:r>
        <w:rPr>
          <w:color w:val="231F20"/>
          <w:spacing w:val="43"/>
        </w:rPr>
        <w:t> </w:t>
      </w:r>
      <w:r>
        <w:rPr>
          <w:color w:val="231F20"/>
        </w:rPr>
        <w:t>die</w:t>
      </w:r>
      <w:r>
        <w:rPr>
          <w:color w:val="231F20"/>
        </w:rPr>
        <w:t> Warmwasseraufbereitung genutzt.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</w:rPr>
        <w:t>Auf</w:t>
      </w:r>
      <w:r>
        <w:rPr>
          <w:color w:val="231F20"/>
          <w:spacing w:val="39"/>
        </w:rPr>
        <w:t> </w:t>
      </w:r>
      <w:r>
        <w:rPr>
          <w:color w:val="231F20"/>
        </w:rPr>
        <w:t>der</w:t>
      </w:r>
      <w:r>
        <w:rPr>
          <w:color w:val="231F20"/>
          <w:spacing w:val="40"/>
        </w:rPr>
        <w:t> </w:t>
      </w:r>
      <w:r>
        <w:rPr>
          <w:color w:val="231F20"/>
        </w:rPr>
        <w:t>Südost-Nordwestseite</w:t>
      </w:r>
      <w:r>
        <w:rPr>
          <w:color w:val="231F20"/>
          <w:spacing w:val="39"/>
        </w:rPr>
        <w:t> </w:t>
      </w:r>
      <w:r>
        <w:rPr>
          <w:color w:val="231F20"/>
        </w:rPr>
        <w:t>des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Da-</w:t>
      </w:r>
      <w:r>
        <w:rPr>
          <w:color w:val="231F20"/>
          <w:spacing w:val="22"/>
        </w:rPr>
        <w:t> </w:t>
      </w:r>
      <w:r>
        <w:rPr>
          <w:color w:val="231F20"/>
        </w:rPr>
        <w:t>ches</w:t>
      </w:r>
      <w:r>
        <w:rPr>
          <w:color w:val="231F20"/>
          <w:spacing w:val="2"/>
        </w:rPr>
        <w:t> </w:t>
      </w:r>
      <w:r>
        <w:rPr>
          <w:color w:val="231F20"/>
        </w:rPr>
        <w:t>ist</w:t>
      </w:r>
      <w:r>
        <w:rPr>
          <w:color w:val="231F20"/>
          <w:spacing w:val="2"/>
        </w:rPr>
        <w:t> </w:t>
      </w:r>
      <w:r>
        <w:rPr>
          <w:color w:val="231F20"/>
        </w:rPr>
        <w:t>eine</w:t>
      </w:r>
      <w:r>
        <w:rPr>
          <w:color w:val="231F20"/>
          <w:spacing w:val="2"/>
        </w:rPr>
        <w:t> </w:t>
      </w:r>
      <w:r>
        <w:rPr>
          <w:color w:val="231F20"/>
        </w:rPr>
        <w:t>first-,</w:t>
      </w:r>
      <w:r>
        <w:rPr>
          <w:color w:val="231F20"/>
          <w:spacing w:val="2"/>
        </w:rPr>
        <w:t> </w:t>
      </w:r>
      <w:r>
        <w:rPr>
          <w:color w:val="231F20"/>
        </w:rPr>
        <w:t>dach-,</w:t>
      </w:r>
      <w:r>
        <w:rPr>
          <w:color w:val="231F20"/>
          <w:spacing w:val="2"/>
        </w:rPr>
        <w:t> </w:t>
      </w:r>
      <w:r>
        <w:rPr>
          <w:color w:val="231F20"/>
        </w:rPr>
        <w:t>seiten-</w:t>
      </w:r>
      <w:r>
        <w:rPr>
          <w:color w:val="231F20"/>
          <w:spacing w:val="2"/>
        </w:rPr>
        <w:t> </w:t>
      </w:r>
      <w:r>
        <w:rPr>
          <w:color w:val="231F20"/>
        </w:rPr>
        <w:t>und</w:t>
      </w:r>
      <w:r>
        <w:rPr>
          <w:color w:val="231F20"/>
          <w:spacing w:val="2"/>
        </w:rPr>
        <w:t> </w:t>
      </w:r>
      <w:r>
        <w:rPr>
          <w:color w:val="231F20"/>
        </w:rPr>
        <w:t>trauf-</w:t>
      </w:r>
      <w:r>
        <w:rPr>
          <w:color w:val="231F20"/>
        </w:rPr>
        <w:t> bündig</w:t>
      </w:r>
      <w:r>
        <w:rPr>
          <w:color w:val="231F20"/>
          <w:spacing w:val="12"/>
        </w:rPr>
        <w:t> </w:t>
      </w:r>
      <w:r>
        <w:rPr>
          <w:color w:val="231F20"/>
        </w:rPr>
        <w:t>vorbildlich</w:t>
      </w:r>
      <w:r>
        <w:rPr>
          <w:color w:val="231F20"/>
          <w:spacing w:val="12"/>
        </w:rPr>
        <w:t> </w:t>
      </w:r>
      <w:r>
        <w:rPr>
          <w:color w:val="231F20"/>
        </w:rPr>
        <w:t>integrierte</w:t>
      </w:r>
      <w:r>
        <w:rPr>
          <w:color w:val="231F20"/>
          <w:spacing w:val="12"/>
        </w:rPr>
        <w:t> </w:t>
      </w:r>
      <w:r>
        <w:rPr>
          <w:color w:val="231F20"/>
        </w:rPr>
        <w:t>30</w:t>
      </w:r>
      <w:r>
        <w:rPr>
          <w:color w:val="231F20"/>
          <w:spacing w:val="12"/>
        </w:rPr>
        <w:t> </w:t>
      </w:r>
      <w:r>
        <w:rPr>
          <w:color w:val="231F20"/>
        </w:rPr>
        <w:t>kW</w:t>
      </w:r>
      <w:r>
        <w:rPr>
          <w:color w:val="231F20"/>
          <w:spacing w:val="12"/>
        </w:rPr>
        <w:t> </w:t>
      </w:r>
      <w:r>
        <w:rPr>
          <w:color w:val="231F20"/>
        </w:rPr>
        <w:t>starke</w:t>
      </w:r>
      <w:r>
        <w:rPr/>
      </w:r>
    </w:p>
    <w:p>
      <w:pPr>
        <w:spacing w:before="87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892" w:val="left" w:leader="none"/>
          <w:tab w:pos="1772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  <w:t>28 | 12 cm</w:t>
        <w:tab/>
        <w:t>U-Wert:</w:t>
      </w:r>
      <w:r>
        <w:rPr>
          <w:rFonts w:ascii="Theinhardt Regular"/>
          <w:color w:val="231F20"/>
          <w:spacing w:val="33"/>
          <w:sz w:val="14"/>
        </w:rPr>
        <w:t> </w:t>
      </w:r>
      <w:r>
        <w:rPr>
          <w:rFonts w:ascii="Theinhardt Regular"/>
          <w:color w:val="231F20"/>
          <w:sz w:val="14"/>
        </w:rPr>
        <w:t>0.11 | 0.25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164" w:val="left" w:leader="none"/>
          <w:tab w:pos="1772" w:val="left" w:leader="none"/>
          <w:tab w:pos="2693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Dach:</w:t>
        <w:tab/>
        <w:t>30 cm</w:t>
        <w:tab/>
        <w:t>U-Wert:</w:t>
        <w:tab/>
        <w:t>0.11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892" w:val="left" w:leader="none"/>
          <w:tab w:pos="1062" w:val="left" w:leader="none"/>
          <w:tab w:pos="1772" w:val="left" w:leader="none"/>
          <w:tab w:pos="2693" w:val="left" w:leader="none"/>
        </w:tabs>
        <w:spacing w:line="207" w:lineRule="auto" w:before="5"/>
        <w:ind w:left="110" w:right="16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Boden:</w:t>
        <w:tab/>
        <w:t>12 | 18 cm</w:t>
        <w:tab/>
        <w:t>U-Wert:</w:t>
      </w:r>
      <w:r>
        <w:rPr>
          <w:rFonts w:ascii="Theinhardt Regular"/>
          <w:color w:val="231F20"/>
          <w:spacing w:val="33"/>
          <w:sz w:val="14"/>
        </w:rPr>
        <w:t> </w:t>
      </w:r>
      <w:r>
        <w:rPr>
          <w:rFonts w:ascii="Theinhardt Regular"/>
          <w:color w:val="231F20"/>
          <w:sz w:val="14"/>
        </w:rPr>
        <w:t>0.20 | 0.13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color w:val="231F20"/>
          <w:sz w:val="14"/>
        </w:rPr>
        <w:t> Fenster:</w:t>
        <w:tab/>
        <w:tab/>
        <w:t>dreifach</w:t>
        <w:tab/>
        <w:t>U-Wert:</w:t>
        <w:tab/>
        <w:t>0.70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spacing w:before="38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 vor der Sanierung [100% | 369%]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00"/>
          <w:cols w:num="3" w:equalWidth="0">
            <w:col w:w="3456" w:space="116"/>
            <w:col w:w="3456" w:space="116"/>
            <w:col w:w="3626"/>
          </w:cols>
        </w:sectPr>
      </w:pPr>
    </w:p>
    <w:p>
      <w:pPr>
        <w:pStyle w:val="BodyText"/>
        <w:spacing w:line="126" w:lineRule="exact" w:before="9"/>
        <w:ind w:left="337" w:right="0"/>
        <w:jc w:val="left"/>
      </w:pPr>
      <w:r>
        <w:rPr>
          <w:color w:val="231F20"/>
        </w:rPr>
        <w:t>Die </w:t>
      </w:r>
      <w:r>
        <w:rPr>
          <w:color w:val="231F20"/>
          <w:spacing w:val="20"/>
        </w:rPr>
        <w:t> </w:t>
      </w:r>
      <w:r>
        <w:rPr>
          <w:color w:val="231F20"/>
        </w:rPr>
        <w:t>Massivkonstruktion </w:t>
      </w:r>
      <w:r>
        <w:rPr>
          <w:color w:val="231F20"/>
          <w:spacing w:val="20"/>
        </w:rPr>
        <w:t> </w:t>
      </w:r>
      <w:r>
        <w:rPr>
          <w:color w:val="231F20"/>
        </w:rPr>
        <w:t>aus </w:t>
      </w:r>
      <w:r>
        <w:rPr>
          <w:color w:val="231F20"/>
          <w:spacing w:val="20"/>
        </w:rPr>
        <w:t> </w:t>
      </w:r>
      <w:r>
        <w:rPr>
          <w:color w:val="231F20"/>
        </w:rPr>
        <w:t>den </w:t>
      </w:r>
      <w:r>
        <w:rPr>
          <w:color w:val="231F20"/>
          <w:spacing w:val="20"/>
        </w:rPr>
        <w:t> </w:t>
      </w:r>
      <w:r>
        <w:rPr>
          <w:color w:val="231F20"/>
        </w:rPr>
        <w:t>70er</w:t>
      </w:r>
      <w:r>
        <w:rPr/>
      </w:r>
    </w:p>
    <w:p>
      <w:pPr>
        <w:pStyle w:val="BodyText"/>
        <w:spacing w:line="126" w:lineRule="exact" w:before="9"/>
        <w:ind w:left="186" w:right="0"/>
        <w:jc w:val="left"/>
      </w:pPr>
      <w:r>
        <w:rPr/>
        <w:br w:type="column"/>
      </w:r>
      <w:r>
        <w:rPr>
          <w:color w:val="231F20"/>
        </w:rPr>
        <w:t>PV-Anlage</w:t>
      </w:r>
      <w:r>
        <w:rPr>
          <w:color w:val="231F20"/>
          <w:spacing w:val="17"/>
        </w:rPr>
        <w:t> </w:t>
      </w:r>
      <w:r>
        <w:rPr>
          <w:color w:val="231F20"/>
        </w:rPr>
        <w:t>mit</w:t>
      </w:r>
      <w:r>
        <w:rPr>
          <w:color w:val="231F20"/>
          <w:spacing w:val="17"/>
        </w:rPr>
        <w:t> </w:t>
      </w:r>
      <w:r>
        <w:rPr>
          <w:color w:val="231F20"/>
        </w:rPr>
        <w:t>monokristallinen</w:t>
      </w:r>
      <w:r>
        <w:rPr>
          <w:color w:val="231F20"/>
          <w:spacing w:val="17"/>
        </w:rPr>
        <w:t> </w:t>
      </w:r>
      <w:r>
        <w:rPr>
          <w:color w:val="231F20"/>
        </w:rPr>
        <w:t>Solarzellen</w:t>
      </w:r>
      <w:r>
        <w:rPr/>
      </w:r>
    </w:p>
    <w:p>
      <w:pPr>
        <w:spacing w:line="130" w:lineRule="exact" w:before="0"/>
        <w:ind w:left="186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EBF: 348.5 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1147" w:val="left" w:leader="none"/>
          <w:tab w:pos="1498" w:val="left" w:leader="none"/>
        </w:tabs>
        <w:spacing w:line="130" w:lineRule="exact" w:before="0"/>
        <w:ind w:left="33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13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00"/>
          <w:cols w:num="4" w:equalWidth="0">
            <w:col w:w="3456" w:space="40"/>
            <w:col w:w="3532" w:space="40"/>
            <w:col w:w="1078" w:space="553"/>
            <w:col w:w="2071"/>
          </w:cols>
        </w:sectPr>
      </w:pPr>
    </w:p>
    <w:p>
      <w:pPr>
        <w:pStyle w:val="BodyText"/>
        <w:spacing w:line="230" w:lineRule="exact" w:before="94"/>
        <w:ind w:right="0"/>
        <w:jc w:val="both"/>
      </w:pPr>
      <w:r>
        <w:rPr>
          <w:color w:val="231F20"/>
          <w:spacing w:val="-1"/>
        </w:rPr>
        <w:t>Jahren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belassen,</w:t>
      </w:r>
      <w:r>
        <w:rPr>
          <w:color w:val="231F20"/>
          <w:spacing w:val="24"/>
        </w:rPr>
        <w:t> </w:t>
      </w:r>
      <w:r>
        <w:rPr>
          <w:color w:val="231F20"/>
        </w:rPr>
        <w:t>die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Aussenwände</w:t>
      </w:r>
      <w:r>
        <w:rPr>
          <w:color w:val="231F20"/>
          <w:spacing w:val="31"/>
        </w:rPr>
        <w:t> </w:t>
      </w:r>
      <w:r>
        <w:rPr>
          <w:color w:val="231F20"/>
        </w:rPr>
        <w:t>aber</w:t>
      </w:r>
      <w:r>
        <w:rPr>
          <w:color w:val="231F20"/>
          <w:spacing w:val="33"/>
        </w:rPr>
        <w:t> </w:t>
      </w:r>
      <w:r>
        <w:rPr>
          <w:color w:val="231F20"/>
        </w:rPr>
        <w:t>zusätzlich</w:t>
      </w:r>
      <w:r>
        <w:rPr>
          <w:color w:val="231F20"/>
          <w:spacing w:val="34"/>
        </w:rPr>
        <w:t> </w:t>
      </w:r>
      <w:r>
        <w:rPr>
          <w:color w:val="231F20"/>
        </w:rPr>
        <w:t>gedämmt.</w:t>
      </w:r>
      <w:r>
        <w:rPr>
          <w:color w:val="231F20"/>
          <w:spacing w:val="23"/>
        </w:rPr>
        <w:t> </w:t>
      </w:r>
      <w:r>
        <w:rPr>
          <w:color w:val="231F20"/>
        </w:rPr>
        <w:t>Damit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sank</w:t>
      </w:r>
      <w:r>
        <w:rPr>
          <w:color w:val="231F20"/>
          <w:spacing w:val="34"/>
        </w:rPr>
        <w:t> </w:t>
      </w:r>
      <w:r>
        <w:rPr>
          <w:color w:val="231F20"/>
        </w:rPr>
        <w:t>der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Gesamtenergieverbrauch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von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76’500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kWh/a</w:t>
      </w:r>
      <w:r>
        <w:rPr>
          <w:color w:val="231F20"/>
          <w:spacing w:val="43"/>
        </w:rPr>
        <w:t> </w:t>
      </w:r>
      <w:r>
        <w:rPr>
          <w:color w:val="231F20"/>
        </w:rPr>
        <w:t>auf 20’800 </w:t>
      </w:r>
      <w:r>
        <w:rPr>
          <w:color w:val="231F20"/>
          <w:spacing w:val="-2"/>
        </w:rPr>
        <w:t>kWh/a.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</w:rPr>
        <w:t>Innovativ</w:t>
      </w:r>
      <w:r>
        <w:rPr>
          <w:color w:val="231F20"/>
          <w:spacing w:val="9"/>
        </w:rPr>
        <w:t> </w:t>
      </w:r>
      <w:r>
        <w:rPr>
          <w:color w:val="231F20"/>
        </w:rPr>
        <w:t>ist</w:t>
      </w:r>
      <w:r>
        <w:rPr>
          <w:color w:val="231F20"/>
          <w:spacing w:val="9"/>
        </w:rPr>
        <w:t> </w:t>
      </w:r>
      <w:r>
        <w:rPr>
          <w:color w:val="231F20"/>
        </w:rPr>
        <w:t>das</w:t>
      </w:r>
      <w:r>
        <w:rPr>
          <w:color w:val="231F20"/>
          <w:spacing w:val="9"/>
        </w:rPr>
        <w:t> </w:t>
      </w:r>
      <w:r>
        <w:rPr>
          <w:color w:val="231F20"/>
        </w:rPr>
        <w:t>Lüftungskonzept,</w:t>
      </w:r>
      <w:r>
        <w:rPr>
          <w:color w:val="231F20"/>
          <w:spacing w:val="9"/>
        </w:rPr>
        <w:t> </w:t>
      </w:r>
      <w:r>
        <w:rPr>
          <w:color w:val="231F20"/>
        </w:rPr>
        <w:t>bei</w:t>
      </w:r>
      <w:r>
        <w:rPr>
          <w:color w:val="231F20"/>
        </w:rPr>
        <w:t> dem</w:t>
      </w:r>
      <w:r>
        <w:rPr>
          <w:color w:val="231F20"/>
          <w:spacing w:val="5"/>
        </w:rPr>
        <w:t> </w:t>
      </w:r>
      <w:r>
        <w:rPr>
          <w:color w:val="231F20"/>
        </w:rPr>
        <w:t>die</w:t>
      </w:r>
      <w:r>
        <w:rPr>
          <w:color w:val="231F20"/>
          <w:spacing w:val="5"/>
        </w:rPr>
        <w:t> </w:t>
      </w:r>
      <w:r>
        <w:rPr>
          <w:color w:val="231F20"/>
        </w:rPr>
        <w:t>Aussenluft</w:t>
      </w:r>
      <w:r>
        <w:rPr>
          <w:color w:val="231F20"/>
          <w:spacing w:val="5"/>
        </w:rPr>
        <w:t> </w:t>
      </w:r>
      <w:r>
        <w:rPr>
          <w:color w:val="231F20"/>
        </w:rPr>
        <w:t>über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fassadenintegrier-</w:t>
      </w:r>
      <w:r>
        <w:rPr>
          <w:color w:val="231F20"/>
          <w:spacing w:val="34"/>
        </w:rPr>
        <w:t> </w:t>
      </w:r>
      <w:r>
        <w:rPr>
          <w:color w:val="231F20"/>
        </w:rPr>
        <w:t>te</w:t>
      </w:r>
      <w:r>
        <w:rPr>
          <w:color w:val="231F20"/>
          <w:spacing w:val="38"/>
        </w:rPr>
        <w:t> </w:t>
      </w:r>
      <w:r>
        <w:rPr>
          <w:color w:val="231F20"/>
        </w:rPr>
        <w:t>Lucido-Elemente</w:t>
      </w:r>
      <w:r>
        <w:rPr>
          <w:color w:val="231F20"/>
          <w:spacing w:val="39"/>
        </w:rPr>
        <w:t> </w:t>
      </w:r>
      <w:r>
        <w:rPr>
          <w:color w:val="231F20"/>
        </w:rPr>
        <w:t>vorgewärmt</w:t>
      </w:r>
      <w:r>
        <w:rPr>
          <w:color w:val="231F20"/>
          <w:spacing w:val="38"/>
        </w:rPr>
        <w:t> </w:t>
      </w:r>
      <w:r>
        <w:rPr>
          <w:color w:val="231F20"/>
        </w:rPr>
        <w:t>wird</w:t>
      </w:r>
      <w:r>
        <w:rPr>
          <w:color w:val="231F20"/>
          <w:spacing w:val="39"/>
        </w:rPr>
        <w:t> </w:t>
      </w:r>
      <w:r>
        <w:rPr>
          <w:color w:val="231F20"/>
        </w:rPr>
        <w:t>und</w:t>
      </w:r>
      <w:r>
        <w:rPr>
          <w:color w:val="231F20"/>
          <w:spacing w:val="21"/>
        </w:rPr>
        <w:t> </w:t>
      </w:r>
      <w:r>
        <w:rPr>
          <w:color w:val="231F20"/>
        </w:rPr>
        <w:t>direkt</w:t>
      </w:r>
      <w:r>
        <w:rPr>
          <w:color w:val="231F20"/>
          <w:spacing w:val="33"/>
        </w:rPr>
        <w:t> </w:t>
      </w:r>
      <w:r>
        <w:rPr>
          <w:color w:val="231F20"/>
        </w:rPr>
        <w:t>in</w:t>
      </w:r>
      <w:r>
        <w:rPr>
          <w:color w:val="231F20"/>
          <w:spacing w:val="34"/>
        </w:rPr>
        <w:t> </w:t>
      </w:r>
      <w:r>
        <w:rPr>
          <w:color w:val="231F20"/>
        </w:rPr>
        <w:t>den</w:t>
      </w:r>
      <w:r>
        <w:rPr>
          <w:color w:val="231F20"/>
          <w:spacing w:val="33"/>
        </w:rPr>
        <w:t> </w:t>
      </w:r>
      <w:r>
        <w:rPr>
          <w:color w:val="231F20"/>
        </w:rPr>
        <w:t>Wohnraum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strömt.</w:t>
      </w:r>
      <w:r>
        <w:rPr>
          <w:color w:val="231F20"/>
          <w:spacing w:val="23"/>
        </w:rPr>
        <w:t> </w:t>
      </w:r>
      <w:r>
        <w:rPr>
          <w:color w:val="231F20"/>
        </w:rPr>
        <w:t>Über</w:t>
      </w:r>
      <w:r>
        <w:rPr>
          <w:color w:val="231F20"/>
          <w:spacing w:val="34"/>
        </w:rPr>
        <w:t> </w:t>
      </w:r>
      <w:r>
        <w:rPr>
          <w:color w:val="231F20"/>
        </w:rPr>
        <w:t>die</w:t>
      </w:r>
      <w:r>
        <w:rPr>
          <w:color w:val="231F20"/>
          <w:spacing w:val="25"/>
        </w:rPr>
        <w:t> </w:t>
      </w:r>
      <w:r>
        <w:rPr>
          <w:color w:val="231F20"/>
        </w:rPr>
        <w:t>Heizperiode</w:t>
      </w:r>
      <w:r>
        <w:rPr>
          <w:color w:val="231F20"/>
          <w:spacing w:val="-2"/>
        </w:rPr>
        <w:t> </w:t>
      </w:r>
      <w:r>
        <w:rPr>
          <w:color w:val="231F20"/>
        </w:rPr>
        <w:t>ist</w:t>
      </w:r>
      <w:r>
        <w:rPr>
          <w:color w:val="231F20"/>
          <w:spacing w:val="-2"/>
        </w:rPr>
        <w:t> </w:t>
      </w:r>
      <w:r>
        <w:rPr>
          <w:color w:val="231F20"/>
        </w:rPr>
        <w:t>die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eintretende</w:t>
      </w:r>
      <w:r>
        <w:rPr>
          <w:color w:val="231F20"/>
          <w:spacing w:val="-2"/>
        </w:rPr>
        <w:t> </w:t>
      </w:r>
      <w:r>
        <w:rPr>
          <w:color w:val="231F20"/>
        </w:rPr>
        <w:t>Frischluft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29"/>
        </w:rPr>
        <w:t> </w:t>
      </w:r>
      <w:r>
        <w:rPr>
          <w:color w:val="231F20"/>
        </w:rPr>
        <w:t>im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Durchschnitt</w:t>
      </w:r>
      <w:r>
        <w:rPr>
          <w:color w:val="231F20"/>
          <w:spacing w:val="17"/>
        </w:rPr>
        <w:t> </w:t>
      </w:r>
      <w:r>
        <w:rPr>
          <w:color w:val="231F20"/>
        </w:rPr>
        <w:t>6-8</w:t>
      </w:r>
      <w:r>
        <w:rPr>
          <w:color w:val="231F20"/>
          <w:spacing w:val="17"/>
        </w:rPr>
        <w:t> </w:t>
      </w:r>
      <w:r>
        <w:rPr>
          <w:color w:val="231F20"/>
        </w:rPr>
        <w:t>°C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wärmer</w:t>
      </w:r>
      <w:r>
        <w:rPr>
          <w:color w:val="231F20"/>
          <w:spacing w:val="17"/>
        </w:rPr>
        <w:t> </w:t>
      </w:r>
      <w:r>
        <w:rPr>
          <w:color w:val="231F20"/>
        </w:rPr>
        <w:t>als</w:t>
      </w:r>
      <w:r>
        <w:rPr>
          <w:color w:val="231F20"/>
          <w:spacing w:val="17"/>
        </w:rPr>
        <w:t> </w:t>
      </w:r>
      <w:r>
        <w:rPr>
          <w:color w:val="231F20"/>
        </w:rPr>
        <w:t>die</w:t>
      </w:r>
      <w:r>
        <w:rPr>
          <w:color w:val="231F20"/>
          <w:spacing w:val="32"/>
        </w:rPr>
        <w:t> </w:t>
      </w:r>
      <w:r>
        <w:rPr>
          <w:color w:val="231F20"/>
        </w:rPr>
        <w:t>Aussenluft.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Verglichen</w:t>
      </w:r>
      <w:r>
        <w:rPr>
          <w:color w:val="231F20"/>
          <w:spacing w:val="-8"/>
        </w:rPr>
        <w:t> </w:t>
      </w:r>
      <w:r>
        <w:rPr>
          <w:color w:val="231F20"/>
        </w:rPr>
        <w:t>mit</w:t>
      </w:r>
      <w:r>
        <w:rPr>
          <w:color w:val="231F20"/>
          <w:spacing w:val="-8"/>
        </w:rPr>
        <w:t> </w:t>
      </w:r>
      <w:r>
        <w:rPr>
          <w:color w:val="231F20"/>
        </w:rPr>
        <w:t>Zu-</w:t>
      </w:r>
      <w:r>
        <w:rPr>
          <w:color w:val="231F20"/>
          <w:spacing w:val="-8"/>
        </w:rPr>
        <w:t> </w:t>
      </w:r>
      <w:r>
        <w:rPr>
          <w:color w:val="231F20"/>
        </w:rPr>
        <w:t>und</w:t>
      </w:r>
      <w:r>
        <w:rPr>
          <w:color w:val="231F20"/>
          <w:spacing w:val="-8"/>
        </w:rPr>
        <w:t> </w:t>
      </w:r>
      <w:r>
        <w:rPr>
          <w:color w:val="231F20"/>
        </w:rPr>
        <w:t>Abluftan-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lagen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werden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Ressourcen</w:t>
      </w:r>
      <w:r>
        <w:rPr>
          <w:color w:val="231F20"/>
          <w:spacing w:val="16"/>
        </w:rPr>
        <w:t> </w:t>
      </w:r>
      <w:r>
        <w:rPr>
          <w:color w:val="231F20"/>
        </w:rPr>
        <w:t>und</w:t>
      </w:r>
      <w:r>
        <w:rPr>
          <w:color w:val="231F20"/>
          <w:spacing w:val="16"/>
        </w:rPr>
        <w:t> </w:t>
      </w:r>
      <w:r>
        <w:rPr>
          <w:color w:val="231F20"/>
        </w:rPr>
        <w:t>40-50%</w:t>
      </w:r>
      <w:r>
        <w:rPr>
          <w:color w:val="231F20"/>
          <w:spacing w:val="27"/>
        </w:rPr>
        <w:t> </w:t>
      </w:r>
      <w:r>
        <w:rPr>
          <w:color w:val="231F20"/>
        </w:rPr>
        <w:t>der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Kosten</w:t>
      </w:r>
      <w:r>
        <w:rPr>
          <w:color w:val="231F20"/>
          <w:spacing w:val="47"/>
        </w:rPr>
        <w:t> </w:t>
      </w:r>
      <w:r>
        <w:rPr>
          <w:color w:val="231F20"/>
        </w:rPr>
        <w:t>eingespart</w:t>
      </w:r>
      <w:r>
        <w:rPr>
          <w:color w:val="231F20"/>
          <w:spacing w:val="46"/>
        </w:rPr>
        <w:t> </w:t>
      </w:r>
      <w:r>
        <w:rPr>
          <w:color w:val="231F20"/>
        </w:rPr>
        <w:t>und</w:t>
      </w:r>
      <w:r>
        <w:rPr>
          <w:color w:val="231F20"/>
          <w:spacing w:val="47"/>
        </w:rPr>
        <w:t> </w:t>
      </w:r>
      <w:r>
        <w:rPr>
          <w:color w:val="231F20"/>
        </w:rPr>
        <w:t>der</w:t>
      </w:r>
      <w:r>
        <w:rPr>
          <w:color w:val="231F20"/>
          <w:spacing w:val="47"/>
        </w:rPr>
        <w:t> </w:t>
      </w:r>
      <w:r>
        <w:rPr>
          <w:color w:val="231F20"/>
        </w:rPr>
        <w:t>Unterhalt</w:t>
      </w:r>
      <w:r>
        <w:rPr/>
      </w:r>
    </w:p>
    <w:p>
      <w:pPr>
        <w:pStyle w:val="BodyText"/>
        <w:spacing w:line="230" w:lineRule="exact" w:before="94"/>
        <w:ind w:right="0"/>
        <w:jc w:val="both"/>
      </w:pPr>
      <w:r>
        <w:rPr/>
        <w:br w:type="column"/>
      </w:r>
      <w:r>
        <w:rPr>
          <w:color w:val="231F20"/>
        </w:rPr>
        <w:t>installiert.</w:t>
      </w:r>
      <w:r>
        <w:rPr>
          <w:color w:val="231F20"/>
          <w:spacing w:val="19"/>
        </w:rPr>
        <w:t> </w:t>
      </w:r>
      <w:r>
        <w:rPr>
          <w:color w:val="231F20"/>
        </w:rPr>
        <w:t>Sie</w:t>
      </w:r>
      <w:r>
        <w:rPr>
          <w:color w:val="231F20"/>
          <w:spacing w:val="20"/>
        </w:rPr>
        <w:t> </w:t>
      </w:r>
      <w:r>
        <w:rPr>
          <w:color w:val="231F20"/>
        </w:rPr>
        <w:t>erzeugt</w:t>
      </w:r>
      <w:r>
        <w:rPr>
          <w:color w:val="231F20"/>
          <w:spacing w:val="19"/>
        </w:rPr>
        <w:t> </w:t>
      </w:r>
      <w:r>
        <w:rPr>
          <w:color w:val="231F20"/>
        </w:rPr>
        <w:t>rund</w:t>
      </w:r>
      <w:r>
        <w:rPr>
          <w:color w:val="231F20"/>
          <w:spacing w:val="20"/>
        </w:rPr>
        <w:t> </w:t>
      </w:r>
      <w:r>
        <w:rPr>
          <w:color w:val="231F20"/>
        </w:rPr>
        <w:t>30’000</w:t>
      </w:r>
      <w:r>
        <w:rPr>
          <w:color w:val="231F20"/>
          <w:spacing w:val="20"/>
        </w:rPr>
        <w:t> </w:t>
      </w:r>
      <w:r>
        <w:rPr>
          <w:color w:val="231F20"/>
        </w:rPr>
        <w:t>kWh/a</w:t>
      </w:r>
      <w:r>
        <w:rPr>
          <w:color w:val="231F20"/>
        </w:rPr>
        <w:t> und</w:t>
      </w:r>
      <w:r>
        <w:rPr>
          <w:color w:val="231F20"/>
          <w:spacing w:val="34"/>
        </w:rPr>
        <w:t> </w:t>
      </w:r>
      <w:r>
        <w:rPr>
          <w:color w:val="231F20"/>
        </w:rPr>
        <w:t>deckt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zusammen</w:t>
      </w:r>
      <w:r>
        <w:rPr>
          <w:color w:val="231F20"/>
          <w:spacing w:val="34"/>
        </w:rPr>
        <w:t> </w:t>
      </w:r>
      <w:r>
        <w:rPr>
          <w:color w:val="231F20"/>
        </w:rPr>
        <w:t>mit</w:t>
      </w:r>
      <w:r>
        <w:rPr>
          <w:color w:val="231F20"/>
          <w:spacing w:val="35"/>
        </w:rPr>
        <w:t> </w:t>
      </w:r>
      <w:r>
        <w:rPr>
          <w:color w:val="231F20"/>
        </w:rPr>
        <w:t>dem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Wärmege-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winn</w:t>
      </w:r>
      <w:r>
        <w:rPr>
          <w:color w:val="231F20"/>
          <w:spacing w:val="4"/>
        </w:rPr>
        <w:t> </w:t>
      </w:r>
      <w:r>
        <w:rPr>
          <w:color w:val="231F20"/>
        </w:rPr>
        <w:t>der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Lucido-Fassade</w:t>
      </w:r>
      <w:r>
        <w:rPr>
          <w:color w:val="231F20"/>
          <w:spacing w:val="4"/>
        </w:rPr>
        <w:t> </w:t>
      </w:r>
      <w:r>
        <w:rPr>
          <w:color w:val="231F20"/>
        </w:rPr>
        <w:t>den</w:t>
      </w:r>
      <w:r>
        <w:rPr>
          <w:color w:val="231F20"/>
          <w:spacing w:val="4"/>
        </w:rPr>
        <w:t> </w:t>
      </w:r>
      <w:r>
        <w:rPr>
          <w:color w:val="231F20"/>
        </w:rPr>
        <w:t>Gesamtener-</w:t>
      </w:r>
      <w:r>
        <w:rPr>
          <w:color w:val="231F20"/>
          <w:spacing w:val="28"/>
        </w:rPr>
        <w:t> </w:t>
      </w:r>
      <w:r>
        <w:rPr>
          <w:color w:val="231F20"/>
        </w:rPr>
        <w:t>giebedarf von 20’800 kWh/a zu 150%.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</w:rPr>
        <w:t>Dieser</w:t>
      </w:r>
      <w:r>
        <w:rPr>
          <w:color w:val="231F20"/>
          <w:spacing w:val="17"/>
        </w:rPr>
        <w:t> </w:t>
      </w:r>
      <w:r>
        <w:rPr>
          <w:color w:val="231F20"/>
        </w:rPr>
        <w:t>zukunftsweisende</w:t>
      </w:r>
      <w:r>
        <w:rPr>
          <w:color w:val="231F20"/>
          <w:spacing w:val="17"/>
        </w:rPr>
        <w:t> </w:t>
      </w:r>
      <w:r>
        <w:rPr>
          <w:color w:val="231F20"/>
        </w:rPr>
        <w:t>Mehrfamilien-</w:t>
      </w:r>
      <w:r>
        <w:rPr>
          <w:color w:val="231F20"/>
          <w:spacing w:val="64"/>
        </w:rPr>
        <w:t> </w:t>
      </w:r>
      <w:r>
        <w:rPr>
          <w:color w:val="231F20"/>
        </w:rPr>
        <w:t>bau</w:t>
      </w:r>
      <w:r>
        <w:rPr>
          <w:color w:val="231F20"/>
          <w:spacing w:val="16"/>
        </w:rPr>
        <w:t> </w:t>
      </w:r>
      <w:r>
        <w:rPr>
          <w:color w:val="231F20"/>
        </w:rPr>
        <w:t>erhält</w:t>
      </w:r>
      <w:r>
        <w:rPr>
          <w:color w:val="231F20"/>
          <w:spacing w:val="16"/>
        </w:rPr>
        <w:t> </w:t>
      </w:r>
      <w:r>
        <w:rPr>
          <w:color w:val="231F20"/>
        </w:rPr>
        <w:t>das</w:t>
      </w:r>
      <w:r>
        <w:rPr>
          <w:color w:val="231F20"/>
          <w:spacing w:val="16"/>
        </w:rPr>
        <w:t> </w:t>
      </w:r>
      <w:r>
        <w:rPr>
          <w:color w:val="231F20"/>
        </w:rPr>
        <w:t>PlusEnergieBau-Diplom</w:t>
      </w:r>
      <w:r>
        <w:rPr>
          <w:color w:val="231F20"/>
        </w:rPr>
        <w:t> 2017.</w:t>
      </w:r>
      <w:r>
        <w:rPr/>
      </w:r>
    </w:p>
    <w:p>
      <w:pPr>
        <w:tabs>
          <w:tab w:pos="2202" w:val="left" w:leader="none"/>
          <w:tab w:pos="2665" w:val="left" w:leader="none"/>
        </w:tabs>
        <w:spacing w:line="14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Heizung:</w:t>
        <w:tab/>
        <w:t>144</w:t>
        <w:tab/>
        <w:t>66   </w:t>
      </w:r>
      <w:r>
        <w:rPr>
          <w:rFonts w:ascii="Theinhardt Regular" w:hAnsi="Theinhardt Regular" w:cs="Theinhardt Regular" w:eastAsia="Theinhardt Regular"/>
          <w:color w:val="231F20"/>
          <w:spacing w:val="1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50’184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165" w:val="left" w:leader="none"/>
          <w:tab w:pos="2665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Warmwasser:</w:t>
        <w:tab/>
        <w:t>37.2</w:t>
        <w:tab/>
        <w:t>17   </w:t>
      </w:r>
      <w:r>
        <w:rPr>
          <w:rFonts w:ascii="Theinhardt Regular" w:hAnsi="Theinhardt Regular" w:cs="Theinhardt Regular" w:eastAsia="Theinhardt Regular"/>
          <w:color w:val="231F20"/>
          <w:spacing w:val="1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12’964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165" w:val="left" w:leader="none"/>
          <w:tab w:pos="2665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Elektrizität:</w:t>
        <w:tab/>
        <w:t>38.4</w:t>
        <w:tab/>
        <w:t>17   </w:t>
      </w:r>
      <w:r>
        <w:rPr>
          <w:rFonts w:ascii="Theinhardt Regular" w:hAnsi="Theinhardt Regular" w:cs="Theinhardt Regular" w:eastAsia="Theinhardt Regular"/>
          <w:color w:val="231F20"/>
          <w:spacing w:val="1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13’382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78" w:val="left" w:leader="none"/>
        </w:tabs>
        <w:spacing w:line="17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GesamtEB:</w:t>
        <w:tab/>
        <w:t>219.6  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100   </w:t>
      </w:r>
      <w:r>
        <w:rPr>
          <w:rFonts w:ascii="Theinhardt Regular" w:hAnsi="Theinhardt Regular" w:cs="Theinhardt Regular" w:eastAsia="Theinhardt Regular"/>
          <w:color w:val="231F20"/>
          <w:spacing w:val="1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76’530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6.934906pt;margin-top:12.196986pt;width:172.55pt;height:117.4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3"/>
                    <w:gridCol w:w="518"/>
                    <w:gridCol w:w="539"/>
                    <w:gridCol w:w="423"/>
                    <w:gridCol w:w="597"/>
                  </w:tblGrid>
                  <w:tr>
                    <w:trPr>
                      <w:trHeight w:val="288" w:hRule="exact"/>
                    </w:trPr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8"/>
                            <w:szCs w:val="8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EBF: 642.5 m</w:t>
                        </w:r>
                        <w:r>
                          <w:rPr>
                            <w:rFonts w:ascii="Theinhardt Regular"/>
                            <w:color w:val="231F20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8"/>
                          </w:rPr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Heizung: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148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74" w:val="left" w:leader="none"/>
                          </w:tabs>
                          <w:spacing w:line="120" w:lineRule="exact"/>
                          <w:ind w:left="40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kWh/m</w:t>
                        </w:r>
                        <w:r>
                          <w:rPr>
                            <w:rFonts w:ascii="Theinhardt Regular"/>
                            <w:color w:val="231F20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a</w:t>
                          <w:tab/>
                          <w:t>%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247" w:val="left" w:leader="none"/>
                          </w:tabs>
                          <w:spacing w:line="168" w:lineRule="exact"/>
                          <w:ind w:left="76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5.6</w:t>
                          <w:tab/>
                        </w:r>
                        <w:r>
                          <w:rPr>
                            <w:rFonts w:ascii="Theinhardt Regular"/>
                            <w:color w:val="231F20"/>
                            <w:spacing w:val="-5"/>
                            <w:sz w:val="14"/>
                          </w:rPr>
                          <w:t>17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170" w:right="0" w:hanging="26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kWh/a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17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4"/>
                            <w:szCs w:val="14"/>
                          </w:rPr>
                          <w:t>3’580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Warmwasser: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148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40" w:val="left" w:leader="none"/>
                          </w:tabs>
                          <w:spacing w:line="160" w:lineRule="exact"/>
                          <w:ind w:left="76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3"/>
                            <w:sz w:val="14"/>
                          </w:rPr>
                          <w:t>6.7</w:t>
                          <w:tab/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21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7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4"/>
                            <w:szCs w:val="14"/>
                          </w:rPr>
                          <w:t>4’289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pacing w:val="2"/>
                            <w:sz w:val="14"/>
                          </w:rPr>
                          <w:t>Elektrizität:</w:t>
                        </w:r>
                        <w:r>
                          <w:rPr>
                            <w:rFonts w:ascii="Theinhardt Regular" w:hAns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148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37" w:val="left" w:leader="none"/>
                          </w:tabs>
                          <w:spacing w:line="160" w:lineRule="exact"/>
                          <w:ind w:left="68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3"/>
                            <w:sz w:val="14"/>
                          </w:rPr>
                          <w:t>20.1</w:t>
                          <w:tab/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62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0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2"/>
                            <w:sz w:val="14"/>
                            <w:szCs w:val="14"/>
                          </w:rPr>
                          <w:t>12’891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GesamtEB: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148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66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32.3    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pacing w:val="17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100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80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z w:val="14"/>
                            <w:szCs w:val="14"/>
                          </w:rPr>
                          <w:t>20’760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47" w:hRule="exact"/>
                    </w:trPr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6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Energieversorgung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153" w:val="left" w:leader="none"/>
                          </w:tabs>
                          <w:spacing w:line="168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8"/>
                            <w:szCs w:val="8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Eigen-EV:</w:t>
                          <w:tab/>
                          <w:t>m</w:t>
                        </w:r>
                        <w:r>
                          <w:rPr>
                            <w:rFonts w:ascii="Theinhardt Regular"/>
                            <w:color w:val="231F20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8"/>
                          </w:rPr>
                        </w:r>
                      </w:p>
                    </w:tc>
                    <w:tc>
                      <w:tcPr>
                        <w:tcW w:w="148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heinhardt Heavy" w:hAnsi="Theinhardt Heavy" w:cs="Theinhardt Heavy" w:eastAsia="Theinhardt Heavy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274" w:val="left" w:leader="none"/>
                          </w:tabs>
                          <w:spacing w:line="180" w:lineRule="exact"/>
                          <w:ind w:left="7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kWp</w:t>
                        </w:r>
                        <w:r>
                          <w:rPr>
                            <w:rFonts w:ascii="Theinhardt Regular"/>
                            <w:color w:val="231F20"/>
                            <w:spacing w:val="23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kWh/m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a</w:t>
                          <w:tab/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%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heinhardt Heavy" w:hAnsi="Theinhardt Heavy" w:cs="Theinhardt Heavy" w:eastAsia="Theinhardt Heavy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14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kWh/a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14" w:val="right" w:leader="none"/>
                          </w:tabs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PV:</w:t>
                          <w:tab/>
                          <w:t>198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148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15" w:val="left" w:leader="none"/>
                          </w:tabs>
                          <w:spacing w:line="160" w:lineRule="exact"/>
                          <w:ind w:left="5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30.0</w:t>
                          <w:tab/>
                        </w:r>
                        <w:r>
                          <w:rPr>
                            <w:rFonts w:ascii="Theinhardt Regular"/>
                            <w:color w:val="231F20"/>
                            <w:spacing w:val="-5"/>
                            <w:sz w:val="14"/>
                          </w:rPr>
                          <w:t>151.5</w:t>
                        </w:r>
                        <w:r>
                          <w:rPr>
                            <w:rFonts w:ascii="Theinhardt Regular"/>
                            <w:color w:val="231F20"/>
                            <w:spacing w:val="36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144.5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7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"/>
                            <w:sz w:val="14"/>
                            <w:szCs w:val="14"/>
                          </w:rPr>
                          <w:t>30’000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9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2"/>
                            <w:sz w:val="14"/>
                          </w:rPr>
                          <w:t>Lucido-Fassade:</w:t>
                        </w:r>
                        <w:r>
                          <w:rPr>
                            <w:rFonts w:ascii="Theinhardt Regular"/>
                            <w:color w:val="231F20"/>
                            <w:spacing w:val="3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44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15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26.4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14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5.5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174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4"/>
                            <w:szCs w:val="14"/>
                          </w:rPr>
                          <w:t>1’160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189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Eigenenergieversorgung: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9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150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92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-2"/>
                            <w:sz w:val="14"/>
                            <w:szCs w:val="14"/>
                          </w:rPr>
                          <w:t>31’160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189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7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Energiebilanz 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(Endenergie)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Eigenenergieversorgung: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7"/>
                          <w:ind w:left="138" w:right="0"/>
                          <w:jc w:val="center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%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16" w:right="0"/>
                          <w:jc w:val="center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150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7"/>
                          <w:ind w:left="14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kWh/a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92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-2"/>
                            <w:sz w:val="14"/>
                            <w:szCs w:val="14"/>
                          </w:rPr>
                          <w:t>31’160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89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Gesamtenergiebedarf: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9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100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8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4"/>
                            <w:szCs w:val="14"/>
                          </w:rPr>
                          <w:t>20’760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89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z w:val="14"/>
                          </w:rPr>
                          <w:t>Solarstromüberschuss:</w:t>
                        </w:r>
                        <w:r>
                          <w:rPr>
                            <w:rFonts w:ascii="Theinhardt Regular" w:hAns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77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2"/>
                            <w:sz w:val="14"/>
                          </w:rPr>
                          <w:t>5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0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79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z w:val="14"/>
                            <w:szCs w:val="14"/>
                          </w:rPr>
                          <w:t>10’400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Bold"/>
          <w:b/>
          <w:color w:val="231F20"/>
          <w:sz w:val="14"/>
        </w:rPr>
        <w:t>Energiebedarf nach der Sanierung [27% | </w:t>
      </w:r>
      <w:r>
        <w:rPr>
          <w:rFonts w:ascii="Theinhardt Bold"/>
          <w:b/>
          <w:color w:val="231F20"/>
          <w:spacing w:val="-1"/>
          <w:sz w:val="14"/>
        </w:rPr>
        <w:t>100%]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00"/>
          <w:cols w:num="3" w:equalWidth="0">
            <w:col w:w="3456" w:space="116"/>
            <w:col w:w="3457" w:space="115"/>
            <w:col w:w="3626"/>
          </w:cols>
        </w:sectPr>
      </w:pP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12"/>
          <w:szCs w:val="12"/>
        </w:rPr>
      </w:pPr>
    </w:p>
    <w:p>
      <w:pPr>
        <w:spacing w:line="160" w:lineRule="exact" w:before="0"/>
        <w:ind w:left="7253" w:right="71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shape style="position:absolute;margin-left:42.52pt;margin-top:9.431303pt;width:345.827pt;height:227.169pt;mso-position-horizontal-relative:page;mso-position-vertical-relative:paragraph;z-index:1096" type="#_x0000_t75" stroked="false">
            <v:imagedata r:id="rId6" o:title=""/>
          </v:shape>
        </w:pict>
      </w: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1"/>
          <w:sz w:val="14"/>
        </w:rPr>
        <w:t>den</w:t>
      </w:r>
      <w:r>
        <w:rPr>
          <w:rFonts w:ascii="Theinhardt Bold" w:hAnsi="Theinhardt Bold"/>
          <w:b/>
          <w:color w:val="231F20"/>
          <w:sz w:val="14"/>
        </w:rPr>
        <w:t> TBW </w:t>
      </w:r>
      <w:r>
        <w:rPr>
          <w:rFonts w:ascii="Theinhardt Regular" w:hAnsi="Theinhardt Regular"/>
          <w:color w:val="231F20"/>
          <w:sz w:val="14"/>
        </w:rPr>
        <w:t>am 19.06.2017</w:t>
      </w:r>
      <w:r>
        <w:rPr>
          <w:rFonts w:ascii="Theinhardt Regular" w:hAnsi="Theinhardt Regular"/>
          <w:color w:val="231F20"/>
          <w:spacing w:val="21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Marco De Bortoli, Tel. 071 913 00 22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0" w:right="2182" w:firstLine="0"/>
        <w:jc w:val="righ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z w:val="14"/>
        </w:rPr>
        <w:t>Beteiligte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7253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0" w:right="2929" w:firstLine="0"/>
        <w:jc w:val="righ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w w:val="95"/>
          <w:sz w:val="14"/>
        </w:rPr>
        <w:t>Standort</w:t>
      </w:r>
      <w:r>
        <w:rPr>
          <w:rFonts w:ascii="Theinhardt Bold"/>
          <w:sz w:val="14"/>
        </w:rPr>
      </w:r>
    </w:p>
    <w:p>
      <w:pPr>
        <w:spacing w:line="172" w:lineRule="exact" w:before="0"/>
        <w:ind w:left="725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Hofbergstrasse</w:t>
      </w:r>
      <w:r>
        <w:rPr>
          <w:rFonts w:ascii="Theinhardt Regular"/>
          <w:color w:val="231F20"/>
          <w:sz w:val="14"/>
        </w:rPr>
        <w:t> 22a/b/c, </w:t>
      </w:r>
      <w:r>
        <w:rPr>
          <w:rFonts w:ascii="Theinhardt Regular"/>
          <w:color w:val="231F20"/>
          <w:spacing w:val="1"/>
          <w:sz w:val="14"/>
        </w:rPr>
        <w:t>9500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Wil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0" w:right="3001" w:firstLine="0"/>
        <w:jc w:val="righ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w w:val="95"/>
          <w:sz w:val="14"/>
        </w:rPr>
        <w:t>Bauherr</w:t>
      </w:r>
      <w:r>
        <w:rPr>
          <w:rFonts w:ascii="Theinhardt Bold"/>
          <w:sz w:val="14"/>
        </w:rPr>
      </w:r>
    </w:p>
    <w:p>
      <w:pPr>
        <w:spacing w:line="172" w:lineRule="exact" w:before="0"/>
        <w:ind w:left="725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Max Caviezel, Via Trebla 13, 7013 Domat/Ems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0" w:right="2922" w:firstLine="0"/>
        <w:jc w:val="righ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Architekt</w:t>
      </w:r>
      <w:r>
        <w:rPr>
          <w:rFonts w:ascii="Theinhardt Bold"/>
          <w:sz w:val="14"/>
        </w:rPr>
      </w:r>
    </w:p>
    <w:p>
      <w:pPr>
        <w:spacing w:line="160" w:lineRule="exact" w:before="0"/>
        <w:ind w:left="0" w:right="1708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FENT SOLARE ARCHITEKTUR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725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7">
        <w:r>
          <w:rPr>
            <w:rFonts w:ascii="Theinhardt Regular"/>
            <w:color w:val="231F20"/>
            <w:sz w:val="14"/>
          </w:rPr>
          <w:t>9500 Wil, Tel. 071 913 30 53, info@fent-solar.com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0" w:right="2733" w:firstLine="0"/>
        <w:jc w:val="righ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Engineering</w:t>
      </w:r>
      <w:r>
        <w:rPr>
          <w:rFonts w:ascii="Theinhardt Bold"/>
          <w:sz w:val="14"/>
        </w:rPr>
      </w:r>
    </w:p>
    <w:p>
      <w:pPr>
        <w:spacing w:line="207" w:lineRule="auto" w:before="5"/>
        <w:ind w:left="7253" w:right="33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LUCIDO SOLAR AG, Hofbergstrasse 21, 9500 Wil Tel. 071 913 30 55</w:t>
      </w:r>
      <w:r>
        <w:rPr>
          <w:rFonts w:ascii="Theinhardt Regular"/>
          <w:sz w:val="14"/>
        </w:rPr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3"/>
          <w:szCs w:val="3"/>
        </w:rPr>
      </w:pPr>
    </w:p>
    <w:p>
      <w:pPr>
        <w:spacing w:line="200" w:lineRule="atLeast"/>
        <w:ind w:left="725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pict>
          <v:group style="width:167.25pt;height:107.1pt;mso-position-horizontal-relative:char;mso-position-vertical-relative:line" coordorigin="0,0" coordsize="3345,2142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  <v:shape style="position:absolute;left:0;top:64;width:3345;height:2078" type="#_x0000_t75" stroked="false">
                <v:imagedata r:id="rId8" o:title="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3" w:val="left" w:leader="none"/>
        </w:tabs>
        <w:spacing w:before="16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24"/>
          <w:szCs w:val="24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4"/>
          <w:szCs w:val="24"/>
        </w:rPr>
        <w:sectPr>
          <w:type w:val="continuous"/>
          <w:pgSz w:w="11910" w:h="16840"/>
          <w:pgMar w:top="840" w:bottom="280" w:left="740" w:right="40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30 kW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PV-Anlage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ist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dach-,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fir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st-,</w:t>
      </w:r>
      <w:r>
        <w:rPr>
          <w:rFonts w:ascii="Theinhardt Bold" w:hAnsi="Theinhardt Bold" w:cs="Theinhardt Bold" w:eastAsia="Theinhardt Bold"/>
          <w:b/>
          <w:bCs/>
          <w:color w:val="231F20"/>
          <w:spacing w:val="2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seiten- und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traufbündig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integriert und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pacing w:val="4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rund 30’000 kWh.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3823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  <w:t>Bei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Sanierung </w:t>
      </w:r>
      <w:r>
        <w:rPr>
          <w:rFonts w:ascii="Theinhardt Bold" w:hAnsi="Theinhardt Bold"/>
          <w:b/>
          <w:color w:val="231F20"/>
          <w:spacing w:val="-1"/>
          <w:sz w:val="14"/>
        </w:rPr>
        <w:t>wurde</w:t>
      </w:r>
      <w:r>
        <w:rPr>
          <w:rFonts w:ascii="Theinhardt Bold" w:hAnsi="Theinhardt Bold"/>
          <w:b/>
          <w:color w:val="231F20"/>
          <w:sz w:val="14"/>
        </w:rPr>
        <w:t> das Gebäude um 84%</w:t>
      </w:r>
      <w:r>
        <w:rPr>
          <w:rFonts w:ascii="Theinhardt Bold" w:hAnsi="Theinhardt Bold"/>
          <w:b/>
          <w:color w:val="231F20"/>
          <w:spacing w:val="28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oder 294 m</w:t>
      </w:r>
      <w:r>
        <w:rPr>
          <w:rFonts w:ascii="Theinhardt Bold" w:hAnsi="Theinhardt Bold"/>
          <w:b/>
          <w:color w:val="231F20"/>
          <w:position w:val="5"/>
          <w:sz w:val="8"/>
        </w:rPr>
        <w:t>2</w:t>
      </w:r>
      <w:r>
        <w:rPr>
          <w:rFonts w:ascii="Theinhardt Bold" w:hAnsi="Theinhardt Bold"/>
          <w:b/>
          <w:color w:val="231F20"/>
          <w:spacing w:val="15"/>
          <w:position w:val="5"/>
          <w:sz w:val="8"/>
        </w:rPr>
        <w:t> </w:t>
      </w:r>
      <w:r>
        <w:rPr>
          <w:rFonts w:ascii="Theinhardt Bold" w:hAnsi="Theinhardt Bold"/>
          <w:b/>
          <w:color w:val="231F20"/>
          <w:sz w:val="14"/>
        </w:rPr>
        <w:t>erweitert.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00"/>
          <w:cols w:num="2" w:equalWidth="0">
            <w:col w:w="3300" w:space="272"/>
            <w:col w:w="7198"/>
          </w:cols>
        </w:sect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2017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2017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61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33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2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2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8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1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07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info@fent-solar.com" TargetMode="External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2017-09-21T11:36:54Z</dcterms:created>
  <dcterms:modified xsi:type="dcterms:W3CDTF">2017-09-21T11:36:54Z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2017-09-21T00:00:00Z</vt:filetime>
  </property>
</Properties>
</file>