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6" w:val="left" w:leader="none"/>
        </w:tabs>
        <w:spacing w:line="230" w:lineRule="exact" w:before="28"/>
        <w:ind w:left="12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656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652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20927pt;width:82.204400pt;height:60.2045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2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1933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Hächler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Chur/GR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neuen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Erdsonden-Wärmepumpe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Energiebe-</w:t>
      </w:r>
      <w:r>
        <w:rPr>
          <w:rFonts w:ascii="Theinhardt Bold" w:hAnsi="Theinhardt Bold" w:cs="Theinhardt Bold" w:eastAsia="Theinhardt Bold"/>
          <w:b/>
          <w:bCs/>
          <w:color w:val="231F20"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darf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78%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59’500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gesenkt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pro-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verwandeln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Anita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Raimund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Hächler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ehemalige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gieschleuder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MFH-PlusEnergieBau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112%.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kann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Hächler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Elektrofahr-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zeug rund 15’000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 pro Jahr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40" w:right="740"/>
          <w:cols w:num="2" w:equalWidth="0">
            <w:col w:w="2567" w:space="112"/>
            <w:col w:w="805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2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112%-PEB-Sanierung MFH Hächler, 7000 Chur/GR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4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Mehrfamilienhaus</w:t>
      </w:r>
      <w:r>
        <w:rPr>
          <w:color w:val="231F20"/>
          <w:spacing w:val="-4"/>
        </w:rPr>
        <w:t> </w:t>
      </w:r>
      <w:r>
        <w:rPr>
          <w:color w:val="231F20"/>
        </w:rPr>
        <w:t>Hächler</w:t>
      </w:r>
      <w:r>
        <w:rPr>
          <w:color w:val="231F20"/>
          <w:spacing w:val="-4"/>
        </w:rPr>
        <w:t> </w:t>
      </w:r>
      <w:r>
        <w:rPr>
          <w:color w:val="231F20"/>
        </w:rPr>
        <w:t>wurde</w:t>
      </w:r>
      <w:r>
        <w:rPr>
          <w:color w:val="231F20"/>
          <w:spacing w:val="-4"/>
        </w:rPr>
        <w:t> </w:t>
      </w:r>
      <w:r>
        <w:rPr>
          <w:color w:val="231F20"/>
        </w:rPr>
        <w:t>2016</w:t>
      </w:r>
      <w:r>
        <w:rPr>
          <w:color w:val="231F20"/>
        </w:rPr>
        <w:t> saniert,</w:t>
      </w:r>
      <w:r>
        <w:rPr>
          <w:color w:val="231F20"/>
          <w:spacing w:val="17"/>
        </w:rPr>
        <w:t> </w:t>
      </w:r>
      <w:r>
        <w:rPr>
          <w:color w:val="231F20"/>
        </w:rPr>
        <w:t>um</w:t>
      </w:r>
      <w:r>
        <w:rPr>
          <w:color w:val="231F20"/>
          <w:spacing w:val="17"/>
        </w:rPr>
        <w:t> </w:t>
      </w:r>
      <w:r>
        <w:rPr>
          <w:color w:val="231F20"/>
        </w:rPr>
        <w:t>die</w:t>
      </w:r>
      <w:r>
        <w:rPr>
          <w:color w:val="231F20"/>
          <w:spacing w:val="17"/>
        </w:rPr>
        <w:t> </w:t>
      </w:r>
      <w:r>
        <w:rPr>
          <w:color w:val="231F20"/>
        </w:rPr>
        <w:t>Liegenschaft</w:t>
      </w:r>
      <w:r>
        <w:rPr>
          <w:color w:val="231F20"/>
          <w:spacing w:val="17"/>
        </w:rPr>
        <w:t> </w:t>
      </w:r>
      <w:r>
        <w:rPr>
          <w:color w:val="231F20"/>
        </w:rPr>
        <w:t>ganz</w:t>
      </w:r>
      <w:r>
        <w:rPr>
          <w:color w:val="231F20"/>
          <w:spacing w:val="17"/>
        </w:rPr>
        <w:t> </w:t>
      </w:r>
      <w:r>
        <w:rPr>
          <w:color w:val="231F20"/>
        </w:rPr>
        <w:t>vom</w:t>
      </w:r>
      <w:r>
        <w:rPr>
          <w:color w:val="231F20"/>
          <w:spacing w:val="17"/>
        </w:rPr>
        <w:t> </w:t>
      </w:r>
      <w:r>
        <w:rPr>
          <w:color w:val="231F20"/>
        </w:rPr>
        <w:t>Öl-</w:t>
      </w:r>
      <w:r>
        <w:rPr>
          <w:color w:val="231F20"/>
        </w:rPr>
        <w:t> verbrauch</w:t>
      </w:r>
      <w:r>
        <w:rPr>
          <w:color w:val="231F20"/>
          <w:spacing w:val="21"/>
        </w:rPr>
        <w:t> </w:t>
      </w:r>
      <w:r>
        <w:rPr>
          <w:color w:val="231F20"/>
        </w:rPr>
        <w:t>(5’000</w:t>
      </w:r>
      <w:r>
        <w:rPr>
          <w:color w:val="231F20"/>
          <w:spacing w:val="21"/>
        </w:rPr>
        <w:t> </w:t>
      </w:r>
      <w:r>
        <w:rPr>
          <w:color w:val="231F20"/>
        </w:rPr>
        <w:t>Liter</w:t>
      </w:r>
      <w:r>
        <w:rPr>
          <w:color w:val="231F20"/>
          <w:spacing w:val="21"/>
        </w:rPr>
        <w:t> </w:t>
      </w:r>
      <w:r>
        <w:rPr>
          <w:color w:val="231F20"/>
        </w:rPr>
        <w:t>pro</w:t>
      </w:r>
      <w:r>
        <w:rPr>
          <w:color w:val="231F20"/>
          <w:spacing w:val="21"/>
        </w:rPr>
        <w:t> </w:t>
      </w:r>
      <w:r>
        <w:rPr>
          <w:color w:val="231F20"/>
        </w:rPr>
        <w:t>Jahr)</w:t>
      </w:r>
      <w:r>
        <w:rPr>
          <w:color w:val="231F20"/>
          <w:spacing w:val="21"/>
        </w:rPr>
        <w:t> </w:t>
      </w:r>
      <w:r>
        <w:rPr>
          <w:color w:val="231F20"/>
        </w:rPr>
        <w:t>zu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befrei-</w:t>
      </w:r>
      <w:r>
        <w:rPr>
          <w:color w:val="231F20"/>
          <w:spacing w:val="26"/>
        </w:rPr>
        <w:t> </w:t>
      </w:r>
      <w:r>
        <w:rPr>
          <w:color w:val="231F20"/>
        </w:rPr>
        <w:t>en.</w:t>
      </w:r>
      <w:r>
        <w:rPr>
          <w:color w:val="231F20"/>
          <w:spacing w:val="3"/>
        </w:rPr>
        <w:t> </w:t>
      </w:r>
      <w:r>
        <w:rPr>
          <w:color w:val="231F20"/>
        </w:rPr>
        <w:t>Durch</w:t>
      </w:r>
      <w:r>
        <w:rPr>
          <w:color w:val="231F20"/>
          <w:spacing w:val="33"/>
        </w:rPr>
        <w:t> </w:t>
      </w:r>
      <w:r>
        <w:rPr>
          <w:color w:val="231F20"/>
        </w:rPr>
        <w:t>die</w:t>
      </w:r>
      <w:r>
        <w:rPr>
          <w:color w:val="231F20"/>
          <w:spacing w:val="34"/>
        </w:rPr>
        <w:t> </w:t>
      </w:r>
      <w:r>
        <w:rPr>
          <w:color w:val="231F20"/>
        </w:rPr>
        <w:t>Erneuerung</w:t>
      </w:r>
      <w:r>
        <w:rPr>
          <w:color w:val="231F20"/>
          <w:spacing w:val="33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Aussen-</w:t>
      </w:r>
      <w:r>
        <w:rPr>
          <w:color w:val="231F20"/>
          <w:spacing w:val="26"/>
        </w:rPr>
        <w:t> </w:t>
      </w:r>
      <w:r>
        <w:rPr>
          <w:color w:val="231F20"/>
        </w:rPr>
        <w:t>wand,</w:t>
      </w:r>
      <w:r>
        <w:rPr>
          <w:color w:val="231F20"/>
          <w:spacing w:val="44"/>
        </w:rPr>
        <w:t> </w:t>
      </w:r>
      <w:r>
        <w:rPr>
          <w:color w:val="231F20"/>
        </w:rPr>
        <w:t>die</w:t>
      </w:r>
      <w:r>
        <w:rPr>
          <w:color w:val="231F20"/>
          <w:spacing w:val="45"/>
        </w:rPr>
        <w:t> </w:t>
      </w:r>
      <w:r>
        <w:rPr>
          <w:color w:val="231F20"/>
        </w:rPr>
        <w:t>dachintegrierte</w:t>
      </w:r>
      <w:r>
        <w:rPr>
          <w:color w:val="231F20"/>
          <w:spacing w:val="44"/>
        </w:rPr>
        <w:t> </w:t>
      </w:r>
      <w:r>
        <w:rPr>
          <w:color w:val="231F20"/>
        </w:rPr>
        <w:t>PV-Anlage</w:t>
      </w:r>
      <w:r>
        <w:rPr>
          <w:color w:val="231F20"/>
          <w:spacing w:val="45"/>
        </w:rPr>
        <w:t> </w:t>
      </w:r>
      <w:r>
        <w:rPr>
          <w:color w:val="231F20"/>
        </w:rPr>
        <w:t>und</w:t>
      </w:r>
      <w:r>
        <w:rPr>
          <w:color w:val="231F20"/>
        </w:rPr>
        <w:t> eine </w:t>
      </w:r>
      <w:r>
        <w:rPr>
          <w:color w:val="231F20"/>
          <w:spacing w:val="9"/>
        </w:rPr>
        <w:t> </w:t>
      </w:r>
      <w:r>
        <w:rPr>
          <w:color w:val="231F20"/>
        </w:rPr>
        <w:t>Erdsonden-Wärmepumpe </w:t>
      </w:r>
      <w:r>
        <w:rPr>
          <w:color w:val="231F20"/>
          <w:spacing w:val="9"/>
        </w:rPr>
        <w:t> </w:t>
      </w:r>
      <w:r>
        <w:rPr>
          <w:color w:val="231F20"/>
        </w:rPr>
        <w:t>mit </w:t>
      </w:r>
      <w:r>
        <w:rPr>
          <w:color w:val="231F20"/>
          <w:spacing w:val="9"/>
        </w:rPr>
        <w:t> </w:t>
      </w:r>
      <w:r>
        <w:rPr>
          <w:color w:val="231F20"/>
        </w:rPr>
        <w:t>einem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Sanierung</w:t>
      </w:r>
      <w:r>
        <w:rPr>
          <w:color w:val="231F20"/>
          <w:spacing w:val="15"/>
        </w:rPr>
        <w:t> </w:t>
      </w:r>
      <w:r>
        <w:rPr>
          <w:color w:val="231F20"/>
        </w:rPr>
        <w:t>beibehalten.</w:t>
      </w:r>
      <w:r>
        <w:rPr>
          <w:color w:val="231F20"/>
          <w:spacing w:val="15"/>
        </w:rPr>
        <w:t> </w:t>
      </w:r>
      <w:r>
        <w:rPr>
          <w:color w:val="231F20"/>
        </w:rPr>
        <w:t>Auch</w:t>
      </w:r>
      <w:r>
        <w:rPr>
          <w:color w:val="231F20"/>
          <w:spacing w:val="15"/>
        </w:rPr>
        <w:t> </w:t>
      </w:r>
      <w:r>
        <w:rPr>
          <w:color w:val="231F20"/>
        </w:rPr>
        <w:t>ökonomische</w:t>
      </w:r>
      <w:r>
        <w:rPr>
          <w:color w:val="231F20"/>
        </w:rPr>
        <w:t> Faktoren</w:t>
      </w:r>
      <w:r>
        <w:rPr>
          <w:color w:val="231F20"/>
          <w:spacing w:val="47"/>
        </w:rPr>
        <w:t> </w:t>
      </w:r>
      <w:r>
        <w:rPr>
          <w:color w:val="231F20"/>
        </w:rPr>
        <w:t>mussten</w:t>
      </w:r>
      <w:r>
        <w:rPr>
          <w:color w:val="231F20"/>
          <w:spacing w:val="48"/>
        </w:rPr>
        <w:t> </w:t>
      </w:r>
      <w:r>
        <w:rPr>
          <w:color w:val="231F20"/>
        </w:rPr>
        <w:t>bei</w:t>
      </w:r>
      <w:r>
        <w:rPr>
          <w:color w:val="231F20"/>
          <w:spacing w:val="47"/>
        </w:rPr>
        <w:t> </w:t>
      </w:r>
      <w:r>
        <w:rPr>
          <w:color w:val="231F20"/>
        </w:rPr>
        <w:t>der</w:t>
      </w:r>
      <w:r>
        <w:rPr>
          <w:color w:val="231F20"/>
          <w:spacing w:val="48"/>
        </w:rPr>
        <w:t> </w:t>
      </w:r>
      <w:r>
        <w:rPr>
          <w:color w:val="231F20"/>
        </w:rPr>
        <w:t>Sanierung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22"/>
        </w:rPr>
        <w:t> </w:t>
      </w:r>
      <w:r>
        <w:rPr>
          <w:color w:val="231F20"/>
        </w:rPr>
        <w:t>rücksichtigt</w:t>
      </w:r>
      <w:r>
        <w:rPr>
          <w:color w:val="231F20"/>
          <w:spacing w:val="2"/>
        </w:rPr>
        <w:t> </w:t>
      </w:r>
      <w:r>
        <w:rPr>
          <w:color w:val="231F20"/>
        </w:rPr>
        <w:t>werden: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gewählten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PV-Mo-</w:t>
      </w:r>
      <w:r>
        <w:rPr>
          <w:color w:val="231F20"/>
          <w:spacing w:val="25"/>
        </w:rPr>
        <w:t> </w:t>
      </w:r>
      <w:r>
        <w:rPr>
          <w:color w:val="231F20"/>
        </w:rPr>
        <w:t>dule</w:t>
      </w:r>
      <w:r>
        <w:rPr>
          <w:color w:val="231F20"/>
          <w:spacing w:val="-14"/>
        </w:rPr>
        <w:t> </w:t>
      </w:r>
      <w:r>
        <w:rPr>
          <w:color w:val="231F20"/>
        </w:rPr>
        <w:t>sind</w:t>
      </w:r>
      <w:r>
        <w:rPr>
          <w:color w:val="231F20"/>
          <w:spacing w:val="-14"/>
        </w:rPr>
        <w:t> </w:t>
      </w:r>
      <w:r>
        <w:rPr>
          <w:color w:val="231F20"/>
        </w:rPr>
        <w:t>nicht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leistungsfähigsten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Modu-</w:t>
      </w:r>
      <w:r>
        <w:rPr>
          <w:color w:val="231F20"/>
          <w:spacing w:val="24"/>
        </w:rPr>
        <w:t> </w:t>
      </w:r>
      <w:r>
        <w:rPr>
          <w:color w:val="231F20"/>
        </w:rPr>
        <w:t>le</w:t>
      </w:r>
      <w:r>
        <w:rPr>
          <w:color w:val="231F20"/>
          <w:spacing w:val="18"/>
        </w:rPr>
        <w:t> </w:t>
      </w:r>
      <w:r>
        <w:rPr>
          <w:color w:val="231F20"/>
        </w:rPr>
        <w:t>auf</w:t>
      </w:r>
      <w:r>
        <w:rPr>
          <w:color w:val="231F20"/>
          <w:spacing w:val="18"/>
        </w:rPr>
        <w:t> </w:t>
      </w:r>
      <w:r>
        <w:rPr>
          <w:color w:val="231F20"/>
        </w:rPr>
        <w:t>dem</w:t>
      </w:r>
      <w:r>
        <w:rPr>
          <w:color w:val="231F20"/>
          <w:spacing w:val="18"/>
        </w:rPr>
        <w:t> </w:t>
      </w:r>
      <w:r>
        <w:rPr>
          <w:color w:val="231F20"/>
        </w:rPr>
        <w:t>Markt,</w:t>
      </w:r>
      <w:r>
        <w:rPr>
          <w:color w:val="231F20"/>
          <w:spacing w:val="18"/>
        </w:rPr>
        <w:t> </w:t>
      </w:r>
      <w:r>
        <w:rPr>
          <w:color w:val="231F20"/>
        </w:rPr>
        <w:t>dafür</w:t>
      </w:r>
      <w:r>
        <w:rPr>
          <w:color w:val="231F20"/>
          <w:spacing w:val="18"/>
        </w:rPr>
        <w:t> </w:t>
      </w:r>
      <w:r>
        <w:rPr>
          <w:color w:val="231F20"/>
        </w:rPr>
        <w:t>aber</w:t>
      </w:r>
      <w:r>
        <w:rPr>
          <w:color w:val="231F20"/>
          <w:spacing w:val="18"/>
        </w:rPr>
        <w:t> </w:t>
      </w:r>
      <w:r>
        <w:rPr>
          <w:color w:val="231F20"/>
        </w:rPr>
        <w:t>preisgünstig.</w:t>
      </w:r>
      <w:r>
        <w:rPr>
          <w:color w:val="231F20"/>
        </w:rPr>
        <w:t> Die</w:t>
      </w:r>
      <w:r>
        <w:rPr>
          <w:color w:val="231F20"/>
          <w:spacing w:val="42"/>
        </w:rPr>
        <w:t> </w:t>
      </w:r>
      <w:r>
        <w:rPr>
          <w:rFonts w:ascii="Theinhardt Bold" w:hAnsi="Theinhardt Bold"/>
          <w:b/>
          <w:color w:val="231F20"/>
        </w:rPr>
        <w:t>Speicherung</w:t>
      </w:r>
      <w:r>
        <w:rPr>
          <w:rFonts w:ascii="Theinhardt Bold" w:hAnsi="Theinhardt Bold"/>
          <w:b/>
          <w:color w:val="231F20"/>
          <w:spacing w:val="39"/>
        </w:rPr>
        <w:t> </w:t>
      </w:r>
      <w:r>
        <w:rPr>
          <w:color w:val="231F20"/>
        </w:rPr>
        <w:t>überschüssiger</w:t>
      </w:r>
      <w:r>
        <w:rPr>
          <w:color w:val="231F20"/>
          <w:spacing w:val="43"/>
        </w:rPr>
        <w:t> </w:t>
      </w:r>
      <w:r>
        <w:rPr>
          <w:color w:val="231F20"/>
        </w:rPr>
        <w:t>Energie</w:t>
      </w:r>
      <w:r>
        <w:rPr/>
      </w:r>
    </w:p>
    <w:p>
      <w:pPr>
        <w:spacing w:before="87"/>
        <w:ind w:left="12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65" w:val="left" w:leader="none"/>
          <w:tab w:pos="2564" w:val="left" w:leader="none"/>
        </w:tabs>
        <w:spacing w:line="16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3"/>
          <w:szCs w:val="13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3"/>
        </w:rPr>
        <w:t>0.18</w:t>
      </w:r>
      <w:r>
        <w:rPr>
          <w:rFonts w:ascii="Theinhardt Regular"/>
          <w:color w:val="231F20"/>
          <w:spacing w:val="3"/>
          <w:sz w:val="13"/>
        </w:rPr>
        <w:t> </w:t>
      </w:r>
      <w:r>
        <w:rPr>
          <w:rFonts w:ascii="Theinhardt Regular"/>
          <w:color w:val="231F20"/>
          <w:spacing w:val="-2"/>
          <w:sz w:val="13"/>
        </w:rPr>
        <w:t>W/m</w:t>
      </w:r>
      <w:r>
        <w:rPr>
          <w:rFonts w:ascii="Theinhardt Regular"/>
          <w:color w:val="231F20"/>
          <w:spacing w:val="-2"/>
          <w:position w:val="4"/>
          <w:sz w:val="7"/>
        </w:rPr>
        <w:t>2</w:t>
      </w:r>
      <w:r>
        <w:rPr>
          <w:rFonts w:ascii="Theinhardt Regular"/>
          <w:color w:val="231F20"/>
          <w:spacing w:val="-2"/>
          <w:sz w:val="13"/>
        </w:rPr>
        <w:t>K</w:t>
      </w:r>
      <w:r>
        <w:rPr>
          <w:rFonts w:ascii="Theinhardt Regular"/>
          <w:sz w:val="13"/>
        </w:rPr>
      </w:r>
    </w:p>
    <w:p>
      <w:pPr>
        <w:tabs>
          <w:tab w:pos="2514" w:val="left" w:leader="none"/>
        </w:tabs>
        <w:spacing w:line="16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Dach/Estrich:</w:t>
      </w:r>
      <w:r>
        <w:rPr>
          <w:rFonts w:ascii="Theinhardt Regular"/>
          <w:color w:val="231F20"/>
          <w:spacing w:val="1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20-30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41" w:val="left" w:leader="none"/>
          <w:tab w:pos="1265" w:val="left" w:leader="none"/>
          <w:tab w:pos="2514" w:val="left" w:leader="none"/>
        </w:tabs>
        <w:spacing w:line="207" w:lineRule="auto" w:before="5"/>
        <w:ind w:left="126" w:right="28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  <w:tab/>
      </w:r>
      <w:r>
        <w:rPr>
          <w:rFonts w:ascii="Theinhardt Regular"/>
          <w:color w:val="231F20"/>
          <w:spacing w:val="-4"/>
          <w:sz w:val="14"/>
        </w:rPr>
        <w:t>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3"/>
          <w:sz w:val="14"/>
        </w:rPr>
        <w:t>0.7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[100%</w:t>
      </w:r>
      <w:r>
        <w:rPr>
          <w:rFonts w:ascii="Theinhardt Bold"/>
          <w:b/>
          <w:color w:val="231F20"/>
          <w:sz w:val="14"/>
        </w:rPr>
        <w:t> | </w:t>
      </w:r>
      <w:r>
        <w:rPr>
          <w:rFonts w:ascii="Theinhardt Bold"/>
          <w:b/>
          <w:color w:val="231F20"/>
          <w:spacing w:val="1"/>
          <w:sz w:val="14"/>
        </w:rPr>
        <w:t>446%]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3" w:equalWidth="0">
            <w:col w:w="3472" w:space="99"/>
            <w:col w:w="3473" w:space="99"/>
            <w:col w:w="3587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</w:rPr>
        <w:t>2’500</w:t>
      </w:r>
      <w:r>
        <w:rPr>
          <w:color w:val="231F20"/>
          <w:spacing w:val="45"/>
        </w:rPr>
        <w:t> </w:t>
      </w:r>
      <w:r>
        <w:rPr>
          <w:color w:val="231F20"/>
        </w:rPr>
        <w:t>Liter-Kombispeicher</w:t>
      </w:r>
      <w:r>
        <w:rPr>
          <w:color w:val="231F20"/>
          <w:spacing w:val="46"/>
        </w:rPr>
        <w:t> </w:t>
      </w:r>
      <w:r>
        <w:rPr>
          <w:color w:val="231F20"/>
        </w:rPr>
        <w:t>konnte</w:t>
      </w:r>
      <w:r>
        <w:rPr>
          <w:color w:val="231F20"/>
          <w:spacing w:val="45"/>
        </w:rPr>
        <w:t> </w:t>
      </w:r>
      <w:r>
        <w:rPr>
          <w:color w:val="231F20"/>
        </w:rPr>
        <w:t>dieses</w:t>
      </w:r>
      <w:r>
        <w:rPr/>
      </w:r>
    </w:p>
    <w:p>
      <w:pPr>
        <w:spacing w:line="126" w:lineRule="exact" w:before="9"/>
        <w:ind w:left="12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Warmwasser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ist</w:t>
      </w:r>
      <w:r>
        <w:rPr>
          <w:rFonts w:ascii="Theinhardt Regular" w:hAnsi="Theinhardt Regular"/>
          <w:color w:val="231F20"/>
          <w:spacing w:val="-1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ebenfalls</w:t>
      </w:r>
      <w:r>
        <w:rPr>
          <w:rFonts w:ascii="Theinhardt Regular" w:hAnsi="Theinhardt Regular"/>
          <w:color w:val="231F20"/>
          <w:spacing w:val="-1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günstiger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als</w:t>
      </w:r>
      <w:r>
        <w:rPr>
          <w:rFonts w:ascii="Theinhardt Regular" w:hAnsi="Theinhardt Regular"/>
          <w:sz w:val="18"/>
        </w:rPr>
      </w:r>
    </w:p>
    <w:p>
      <w:pPr>
        <w:spacing w:line="13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336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45" w:val="left" w:leader="none"/>
          <w:tab w:pos="1371" w:val="left" w:leader="none"/>
        </w:tabs>
        <w:spacing w:line="13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4" w:equalWidth="0">
            <w:col w:w="3472" w:space="99"/>
            <w:col w:w="3472" w:space="99"/>
            <w:col w:w="904" w:space="569"/>
            <w:col w:w="2115"/>
          </w:cols>
        </w:sectPr>
      </w:pPr>
    </w:p>
    <w:p>
      <w:pPr>
        <w:pStyle w:val="BodyText"/>
        <w:spacing w:line="234" w:lineRule="exact" w:before="103"/>
        <w:ind w:right="0"/>
        <w:jc w:val="left"/>
      </w:pPr>
      <w:r>
        <w:rPr>
          <w:color w:val="231F20"/>
        </w:rPr>
        <w:t>Ziel erreicht werden.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Die</w:t>
      </w:r>
      <w:r>
        <w:rPr>
          <w:color w:val="231F20"/>
          <w:spacing w:val="41"/>
        </w:rPr>
        <w:t> </w:t>
      </w:r>
      <w:r>
        <w:rPr>
          <w:color w:val="231F20"/>
        </w:rPr>
        <w:t>65</w:t>
      </w:r>
      <w:r>
        <w:rPr>
          <w:color w:val="231F20"/>
          <w:spacing w:val="40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0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41"/>
        </w:rPr>
        <w:t> </w:t>
      </w:r>
      <w:r>
        <w:rPr>
          <w:color w:val="231F20"/>
        </w:rPr>
        <w:t>PV-Anlage</w:t>
      </w:r>
      <w:r>
        <w:rPr>
          <w:color w:val="231F20"/>
          <w:spacing w:val="41"/>
        </w:rPr>
        <w:t> </w:t>
      </w:r>
      <w:r>
        <w:rPr>
          <w:color w:val="231F20"/>
        </w:rPr>
        <w:t>auf</w:t>
      </w:r>
      <w:r>
        <w:rPr>
          <w:color w:val="231F20"/>
          <w:spacing w:val="41"/>
        </w:rPr>
        <w:t> </w:t>
      </w:r>
      <w:r>
        <w:rPr>
          <w:color w:val="231F20"/>
        </w:rPr>
        <w:t>dem</w:t>
      </w:r>
      <w:r>
        <w:rPr>
          <w:color w:val="231F20"/>
        </w:rPr>
        <w:t> Südostdach und die</w:t>
      </w:r>
      <w:r>
        <w:rPr>
          <w:color w:val="231F20"/>
          <w:spacing w:val="1"/>
        </w:rPr>
        <w:t> </w:t>
      </w:r>
      <w:r>
        <w:rPr>
          <w:color w:val="231F20"/>
        </w:rPr>
        <w:t>25 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1"/>
          <w:position w:val="6"/>
          <w:sz w:val="10"/>
          <w:szCs w:val="10"/>
        </w:rPr>
        <w:t> </w:t>
      </w:r>
      <w:r>
        <w:rPr>
          <w:color w:val="231F20"/>
        </w:rPr>
        <w:t>grosse</w:t>
      </w:r>
      <w:r>
        <w:rPr>
          <w:color w:val="231F20"/>
          <w:spacing w:val="1"/>
        </w:rPr>
        <w:t> </w:t>
      </w:r>
      <w:r>
        <w:rPr>
          <w:color w:val="231F20"/>
        </w:rPr>
        <w:t>PV-Anla-</w:t>
      </w:r>
      <w:r>
        <w:rPr>
          <w:color w:val="231F20"/>
        </w:rPr>
        <w:t> ge</w:t>
      </w:r>
      <w:r>
        <w:rPr>
          <w:color w:val="231F20"/>
          <w:spacing w:val="34"/>
        </w:rPr>
        <w:t> </w:t>
      </w:r>
      <w:r>
        <w:rPr>
          <w:color w:val="231F20"/>
        </w:rPr>
        <w:t>auf</w:t>
      </w:r>
      <w:r>
        <w:rPr>
          <w:color w:val="231F20"/>
          <w:spacing w:val="35"/>
        </w:rPr>
        <w:t> </w:t>
      </w:r>
      <w:r>
        <w:rPr>
          <w:color w:val="231F20"/>
        </w:rPr>
        <w:t>dem</w:t>
      </w:r>
      <w:r>
        <w:rPr>
          <w:color w:val="231F20"/>
          <w:spacing w:val="34"/>
        </w:rPr>
        <w:t> </w:t>
      </w:r>
      <w:r>
        <w:rPr>
          <w:color w:val="231F20"/>
        </w:rPr>
        <w:t>Nordwestdach</w:t>
      </w:r>
      <w:r>
        <w:rPr>
          <w:color w:val="231F20"/>
          <w:spacing w:val="35"/>
        </w:rPr>
        <w:t> </w:t>
      </w:r>
      <w:r>
        <w:rPr>
          <w:color w:val="231F20"/>
        </w:rPr>
        <w:t>produzieren</w:t>
      </w:r>
      <w:r>
        <w:rPr>
          <w:color w:val="231F20"/>
        </w:rPr>
        <w:t> 14’900</w:t>
      </w:r>
      <w:r>
        <w:rPr>
          <w:color w:val="231F20"/>
          <w:spacing w:val="39"/>
        </w:rPr>
        <w:t> </w:t>
      </w:r>
      <w:r>
        <w:rPr>
          <w:color w:val="231F20"/>
        </w:rPr>
        <w:t>kWh/a.</w:t>
      </w:r>
      <w:r>
        <w:rPr>
          <w:color w:val="231F20"/>
          <w:spacing w:val="40"/>
        </w:rPr>
        <w:t> </w:t>
      </w:r>
      <w:r>
        <w:rPr>
          <w:color w:val="231F20"/>
        </w:rPr>
        <w:t>Der</w:t>
      </w:r>
      <w:r>
        <w:rPr>
          <w:color w:val="231F20"/>
          <w:spacing w:val="39"/>
        </w:rPr>
        <w:t> </w:t>
      </w:r>
      <w:r>
        <w:rPr>
          <w:color w:val="231F20"/>
        </w:rPr>
        <w:t>überschüssige</w:t>
      </w:r>
      <w:r>
        <w:rPr>
          <w:color w:val="231F20"/>
          <w:spacing w:val="40"/>
        </w:rPr>
        <w:t> </w:t>
      </w:r>
      <w:r>
        <w:rPr>
          <w:color w:val="231F20"/>
        </w:rPr>
        <w:t>Strom</w:t>
      </w:r>
      <w:r>
        <w:rPr>
          <w:color w:val="231F20"/>
        </w:rPr>
        <w:t> wird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Netz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IBC</w:t>
      </w:r>
      <w:r>
        <w:rPr>
          <w:color w:val="231F20"/>
          <w:spacing w:val="-3"/>
        </w:rPr>
        <w:t> </w:t>
      </w:r>
      <w:r>
        <w:rPr>
          <w:color w:val="231F20"/>
        </w:rPr>
        <w:t>eingespeist.</w:t>
      </w:r>
      <w:r>
        <w:rPr>
          <w:color w:val="231F20"/>
          <w:spacing w:val="-3"/>
        </w:rPr>
        <w:t> </w:t>
      </w:r>
      <w:r>
        <w:rPr>
          <w:color w:val="231F20"/>
        </w:rPr>
        <w:t>Bei</w:t>
      </w:r>
      <w:r>
        <w:rPr>
          <w:color w:val="231F20"/>
          <w:spacing w:val="-3"/>
        </w:rPr>
        <w:t> </w:t>
      </w:r>
      <w:r>
        <w:rPr>
          <w:color w:val="231F20"/>
        </w:rPr>
        <w:t>zu</w:t>
      </w:r>
      <w:r>
        <w:rPr>
          <w:color w:val="231F20"/>
        </w:rPr>
        <w:t> geringer</w:t>
      </w:r>
      <w:r>
        <w:rPr>
          <w:color w:val="231F20"/>
          <w:spacing w:val="22"/>
        </w:rPr>
        <w:t> </w:t>
      </w:r>
      <w:r>
        <w:rPr>
          <w:color w:val="231F20"/>
        </w:rPr>
        <w:t>Sonneneinstrahlung</w:t>
      </w:r>
      <w:r>
        <w:rPr>
          <w:color w:val="231F20"/>
          <w:spacing w:val="22"/>
        </w:rPr>
        <w:t> </w:t>
      </w:r>
      <w:r>
        <w:rPr>
          <w:color w:val="231F20"/>
        </w:rPr>
        <w:t>wird</w:t>
      </w:r>
      <w:r>
        <w:rPr>
          <w:color w:val="231F20"/>
          <w:spacing w:val="22"/>
        </w:rPr>
        <w:t> </w:t>
      </w:r>
      <w:r>
        <w:rPr>
          <w:color w:val="231F20"/>
        </w:rPr>
        <w:t>Strom</w:t>
      </w:r>
      <w:r>
        <w:rPr>
          <w:color w:val="231F20"/>
        </w:rPr>
        <w:t> aus</w:t>
      </w:r>
      <w:r>
        <w:rPr>
          <w:color w:val="231F20"/>
          <w:spacing w:val="4"/>
        </w:rPr>
        <w:t> </w:t>
      </w:r>
      <w:r>
        <w:rPr>
          <w:color w:val="231F20"/>
        </w:rPr>
        <w:t>Wasserkraft</w:t>
      </w:r>
      <w:r>
        <w:rPr>
          <w:color w:val="231F20"/>
          <w:spacing w:val="4"/>
        </w:rPr>
        <w:t> </w:t>
      </w:r>
      <w:r>
        <w:rPr>
          <w:color w:val="231F20"/>
        </w:rPr>
        <w:t>des</w:t>
      </w:r>
      <w:r>
        <w:rPr>
          <w:color w:val="231F20"/>
          <w:spacing w:val="4"/>
        </w:rPr>
        <w:t> </w:t>
      </w:r>
      <w:r>
        <w:rPr>
          <w:color w:val="231F20"/>
        </w:rPr>
        <w:t>nahen</w:t>
      </w:r>
      <w:r>
        <w:rPr>
          <w:color w:val="231F20"/>
          <w:spacing w:val="4"/>
        </w:rPr>
        <w:t> </w:t>
      </w:r>
      <w:r>
        <w:rPr>
          <w:color w:val="231F20"/>
        </w:rPr>
        <w:t>Flusses</w:t>
      </w:r>
      <w:r>
        <w:rPr>
          <w:color w:val="231F20"/>
          <w:spacing w:val="4"/>
        </w:rPr>
        <w:t> </w:t>
      </w:r>
      <w:r>
        <w:rPr>
          <w:color w:val="231F20"/>
        </w:rPr>
        <w:t>Plessur</w:t>
      </w:r>
      <w:r>
        <w:rPr>
          <w:color w:val="231F20"/>
        </w:rPr>
        <w:t> zugekauft.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Mehrfamilienhaus</w:t>
      </w:r>
      <w:r>
        <w:rPr>
          <w:color w:val="231F20"/>
          <w:spacing w:val="1"/>
        </w:rPr>
        <w:t> </w:t>
      </w:r>
      <w:r>
        <w:rPr>
          <w:color w:val="231F20"/>
        </w:rPr>
        <w:t>Hächler</w:t>
      </w:r>
      <w:r>
        <w:rPr>
          <w:color w:val="231F20"/>
        </w:rPr>
        <w:t> wird</w:t>
      </w:r>
      <w:r>
        <w:rPr>
          <w:color w:val="231F20"/>
          <w:spacing w:val="2"/>
        </w:rPr>
        <w:t> </w:t>
      </w:r>
      <w:r>
        <w:rPr>
          <w:color w:val="231F20"/>
        </w:rPr>
        <w:t>nun</w:t>
      </w:r>
      <w:r>
        <w:rPr>
          <w:color w:val="231F20"/>
          <w:spacing w:val="2"/>
        </w:rPr>
        <w:t> </w:t>
      </w:r>
      <w:r>
        <w:rPr>
          <w:color w:val="231F20"/>
        </w:rPr>
        <w:t>ausschliesslich</w:t>
      </w:r>
      <w:r>
        <w:rPr>
          <w:color w:val="231F20"/>
          <w:spacing w:val="3"/>
        </w:rPr>
        <w:t> </w:t>
      </w:r>
      <w:r>
        <w:rPr>
          <w:color w:val="231F20"/>
        </w:rPr>
        <w:t>mit</w:t>
      </w:r>
      <w:r>
        <w:rPr>
          <w:color w:val="231F20"/>
          <w:spacing w:val="2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-freien,</w:t>
      </w:r>
      <w:r>
        <w:rPr>
          <w:color w:val="231F20"/>
          <w:spacing w:val="3"/>
        </w:rPr>
        <w:t> </w:t>
      </w:r>
      <w:r>
        <w:rPr>
          <w:color w:val="231F20"/>
        </w:rPr>
        <w:t>er-</w:t>
      </w:r>
      <w:r>
        <w:rPr/>
      </w:r>
    </w:p>
    <w:p>
      <w:pPr>
        <w:pStyle w:val="BodyText"/>
        <w:spacing w:line="197" w:lineRule="exact"/>
        <w:ind w:right="0"/>
        <w:jc w:val="left"/>
      </w:pPr>
      <w:r>
        <w:rPr>
          <w:color w:val="231F20"/>
        </w:rPr>
        <w:t>neuerbaren Energien versorgt.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Da</w:t>
      </w:r>
      <w:r>
        <w:rPr>
          <w:color w:val="231F20"/>
          <w:spacing w:val="32"/>
        </w:rPr>
        <w:t> </w:t>
      </w:r>
      <w:r>
        <w:rPr>
          <w:color w:val="231F20"/>
        </w:rPr>
        <w:t>das</w:t>
      </w:r>
      <w:r>
        <w:rPr>
          <w:color w:val="231F20"/>
          <w:spacing w:val="33"/>
        </w:rPr>
        <w:t> </w:t>
      </w:r>
      <w:r>
        <w:rPr>
          <w:color w:val="231F20"/>
        </w:rPr>
        <w:t>Haus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einer</w:t>
      </w:r>
      <w:r>
        <w:rPr>
          <w:color w:val="231F20"/>
          <w:spacing w:val="33"/>
        </w:rPr>
        <w:t> </w:t>
      </w:r>
      <w:r>
        <w:rPr>
          <w:color w:val="231F20"/>
        </w:rPr>
        <w:t>Wohnschutzzone</w:t>
      </w:r>
      <w:r>
        <w:rPr>
          <w:color w:val="231F20"/>
        </w:rPr>
        <w:t> steht,</w:t>
      </w:r>
      <w:r>
        <w:rPr>
          <w:color w:val="231F20"/>
          <w:spacing w:val="3"/>
        </w:rPr>
        <w:t> </w:t>
      </w:r>
      <w:r>
        <w:rPr>
          <w:color w:val="231F20"/>
        </w:rPr>
        <w:t>wurde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Gebäudecharakter</w:t>
      </w:r>
      <w:r>
        <w:rPr>
          <w:color w:val="231F20"/>
          <w:spacing w:val="3"/>
        </w:rPr>
        <w:t> </w:t>
      </w:r>
      <w:r>
        <w:rPr>
          <w:color w:val="231F20"/>
        </w:rPr>
        <w:t>bei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/>
      </w:r>
    </w:p>
    <w:p>
      <w:pPr>
        <w:pStyle w:val="BodyText"/>
        <w:spacing w:line="230" w:lineRule="exact" w:before="94"/>
        <w:ind w:right="0"/>
        <w:jc w:val="left"/>
      </w:pPr>
      <w:r>
        <w:rPr/>
        <w:br w:type="column"/>
      </w:r>
      <w:r>
        <w:rPr>
          <w:color w:val="231F20"/>
        </w:rPr>
        <w:t>der </w:t>
      </w:r>
      <w:r>
        <w:rPr>
          <w:color w:val="231F20"/>
          <w:spacing w:val="14"/>
        </w:rPr>
        <w:t> </w:t>
      </w:r>
      <w:r>
        <w:rPr>
          <w:color w:val="231F20"/>
        </w:rPr>
        <w:t>Einsatz </w:t>
      </w:r>
      <w:r>
        <w:rPr>
          <w:color w:val="231F20"/>
          <w:spacing w:val="14"/>
        </w:rPr>
        <w:t> </w:t>
      </w:r>
      <w:r>
        <w:rPr>
          <w:color w:val="231F20"/>
        </w:rPr>
        <w:t>von </w:t>
      </w:r>
      <w:r>
        <w:rPr>
          <w:color w:val="231F20"/>
          <w:spacing w:val="15"/>
        </w:rPr>
        <w:t> </w:t>
      </w:r>
      <w:r>
        <w:rPr>
          <w:rFonts w:ascii="Theinhardt Bold"/>
          <w:b/>
          <w:color w:val="231F20"/>
        </w:rPr>
        <w:t>Batterien </w:t>
      </w:r>
      <w:r>
        <w:rPr>
          <w:rFonts w:ascii="Theinhardt Bold"/>
          <w:b/>
          <w:color w:val="231F20"/>
          <w:spacing w:val="22"/>
        </w:rPr>
        <w:t> </w:t>
      </w:r>
      <w:r>
        <w:rPr>
          <w:color w:val="231F20"/>
        </w:rPr>
        <w:t>oder </w:t>
      </w:r>
      <w:r>
        <w:rPr>
          <w:color w:val="231F20"/>
          <w:spacing w:val="14"/>
        </w:rPr>
        <w:t> </w:t>
      </w:r>
      <w:r>
        <w:rPr>
          <w:color w:val="231F20"/>
        </w:rPr>
        <w:t>anderer</w:t>
      </w:r>
      <w:r>
        <w:rPr>
          <w:color w:val="231F20"/>
        </w:rPr>
        <w:t> Speichertechnologien.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Mehrfamilienhaus</w:t>
      </w:r>
      <w:r>
        <w:rPr>
          <w:color w:val="231F20"/>
          <w:spacing w:val="-9"/>
        </w:rPr>
        <w:t> </w:t>
      </w:r>
      <w:r>
        <w:rPr>
          <w:color w:val="231F20"/>
        </w:rPr>
        <w:t>Hächler</w:t>
      </w:r>
      <w:r>
        <w:rPr>
          <w:color w:val="231F20"/>
          <w:spacing w:val="-9"/>
        </w:rPr>
        <w:t> </w:t>
      </w:r>
      <w:r>
        <w:rPr>
          <w:color w:val="231F20"/>
        </w:rPr>
        <w:t>deckt</w:t>
      </w:r>
      <w:r>
        <w:rPr>
          <w:color w:val="231F20"/>
          <w:spacing w:val="-9"/>
        </w:rPr>
        <w:t> </w:t>
      </w:r>
      <w:r>
        <w:rPr>
          <w:color w:val="231F20"/>
        </w:rPr>
        <w:t>sei-</w:t>
      </w:r>
      <w:r>
        <w:rPr>
          <w:color w:val="231F20"/>
        </w:rPr>
        <w:t> nen</w:t>
      </w:r>
      <w:r>
        <w:rPr>
          <w:color w:val="231F20"/>
          <w:spacing w:val="4"/>
        </w:rPr>
        <w:t> </w:t>
      </w:r>
      <w:r>
        <w:rPr>
          <w:color w:val="231F20"/>
        </w:rPr>
        <w:t>Energiebedarf</w:t>
      </w:r>
      <w:r>
        <w:rPr>
          <w:color w:val="231F20"/>
          <w:spacing w:val="4"/>
        </w:rPr>
        <w:t> </w:t>
      </w:r>
      <w:r>
        <w:rPr>
          <w:color w:val="231F20"/>
        </w:rPr>
        <w:t>zu</w:t>
      </w:r>
      <w:r>
        <w:rPr>
          <w:color w:val="231F20"/>
          <w:spacing w:val="4"/>
        </w:rPr>
        <w:t> </w:t>
      </w:r>
      <w:r>
        <w:rPr>
          <w:color w:val="231F20"/>
        </w:rPr>
        <w:t>112%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erhält</w:t>
      </w:r>
      <w:r>
        <w:rPr>
          <w:color w:val="231F20"/>
          <w:spacing w:val="4"/>
        </w:rPr>
        <w:t> </w:t>
      </w:r>
      <w:r>
        <w:rPr>
          <w:color w:val="231F20"/>
        </w:rPr>
        <w:t>da-</w:t>
      </w:r>
      <w:r>
        <w:rPr>
          <w:color w:val="231F20"/>
        </w:rPr>
        <w:t> für das PlusEnergieBau-Diplom 2017.</w:t>
      </w:r>
      <w:r>
        <w:rPr/>
      </w:r>
    </w:p>
    <w:p>
      <w:pPr>
        <w:tabs>
          <w:tab w:pos="1924" w:val="left" w:leader="none"/>
          <w:tab w:pos="2383" w:val="left" w:leader="none"/>
          <w:tab w:pos="2797" w:val="left" w:leader="none"/>
        </w:tabs>
        <w:spacing w:line="142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w w:val="95"/>
        </w:rPr>
        <w:br w:type="column"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134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76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45’024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78" w:val="left" w:leader="none"/>
          <w:tab w:pos="2389" w:val="left" w:leader="none"/>
          <w:tab w:pos="2874" w:val="left" w:leader="none"/>
        </w:tabs>
        <w:spacing w:line="16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20.8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6’989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80" w:val="left" w:leader="none"/>
          <w:tab w:pos="2389" w:val="left" w:leader="none"/>
          <w:tab w:pos="2884" w:val="left" w:leader="none"/>
        </w:tabs>
        <w:spacing w:line="16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22.3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7’493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14" w:val="left" w:leader="none"/>
          <w:tab w:pos="2780" w:val="left" w:leader="none"/>
        </w:tabs>
        <w:spacing w:line="172" w:lineRule="exact" w:before="0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177.1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59’506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[22%</w:t>
      </w:r>
      <w:r>
        <w:rPr>
          <w:rFonts w:ascii="Theinhardt Bold"/>
          <w:b/>
          <w:color w:val="231F20"/>
          <w:sz w:val="14"/>
        </w:rPr>
        <w:t>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743"/>
        <w:gridCol w:w="435"/>
        <w:gridCol w:w="634"/>
      </w:tblGrid>
      <w:tr>
        <w:trPr>
          <w:trHeight w:val="128" w:hRule="exact"/>
        </w:trPr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336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8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9.2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3’076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8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0"/>
                <w:sz w:val="14"/>
              </w:rPr>
              <w:t>7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.</w:t>
            </w:r>
            <w:r>
              <w:rPr>
                <w:rFonts w:ascii="Theinhardt Regular"/>
                <w:color w:val="231F20"/>
                <w:sz w:val="14"/>
              </w:rPr>
              <w:t>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2’460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9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23.2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7’800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344" w:hRule="exact"/>
        </w:trPr>
        <w:tc>
          <w:tcPr>
            <w:tcW w:w="1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48" w:lineRule="exact" w:before="32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8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39.6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13’336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1803" w:val="left" w:leader="none"/>
          <w:tab w:pos="2438" w:val="left" w:leader="none"/>
          <w:tab w:pos="2789" w:val="left" w:leader="none"/>
          <w:tab w:pos="2844" w:val="left" w:leader="none"/>
        </w:tabs>
        <w:spacing w:line="160" w:lineRule="exact" w:before="20"/>
        <w:ind w:left="126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2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90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15.2</w:t>
        <w:tab/>
        <w:t>165.9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4"/>
          <w:szCs w:val="14"/>
        </w:rPr>
        <w:t>112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14’934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592"/>
        <w:gridCol w:w="624"/>
      </w:tblGrid>
      <w:tr>
        <w:trPr>
          <w:trHeight w:val="187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3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4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59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4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5"/>
                <w:sz w:val="14"/>
              </w:rPr>
              <w:t>112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5"/>
                <w:sz w:val="14"/>
                <w:szCs w:val="14"/>
              </w:rPr>
              <w:t>1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4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3"/>
                <w:sz w:val="14"/>
                <w:szCs w:val="14"/>
              </w:rPr>
              <w:t>’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9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3</w:t>
            </w: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4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13’336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43" w:hRule="exact"/>
        </w:trPr>
        <w:tc>
          <w:tcPr>
            <w:tcW w:w="2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3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4"/>
                <w:sz w:val="14"/>
              </w:rPr>
              <w:t>12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19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1’598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54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von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der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IBC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Energie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Wasser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Chur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30.07.2017,</w:t>
      </w:r>
      <w:r>
        <w:rPr>
          <w:rFonts w:ascii="Theinhardt Regular"/>
          <w:color w:val="231F20"/>
          <w:spacing w:val="-6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Tel. </w:t>
      </w:r>
      <w:r>
        <w:rPr>
          <w:rFonts w:ascii="Theinhardt Regular"/>
          <w:color w:val="231F20"/>
          <w:spacing w:val="-2"/>
          <w:sz w:val="14"/>
        </w:rPr>
        <w:t>081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254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48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2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2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Fortunastrasse</w:t>
      </w:r>
      <w:r>
        <w:rPr>
          <w:rFonts w:ascii="Theinhardt Regular"/>
          <w:color w:val="231F20"/>
          <w:sz w:val="14"/>
        </w:rPr>
        <w:t> 28,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> Chur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26" w:right="90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Anita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Raimund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Hächler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Signinastrasse</w:t>
      </w:r>
      <w:r>
        <w:rPr>
          <w:rFonts w:ascii="Theinhardt Regular" w:hAnsi="Theinhardt Regular"/>
          <w:color w:val="231F20"/>
          <w:sz w:val="14"/>
        </w:rPr>
        <w:t> 2,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> Chur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353 </w:t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6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ars.solaris@bluewin.ch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Ruedi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Berchtold,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Via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principala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7014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Trin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635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07</w:t>
      </w:r>
      <w:hyperlink r:id="rId7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ruedi@berchtold-architektur.ch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2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HLKS,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Stefani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Chur,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081</w:t>
      </w:r>
      <w:r>
        <w:rPr>
          <w:rFonts w:ascii="Theinhardt Regular"/>
          <w:color w:val="231F20"/>
          <w:sz w:val="14"/>
        </w:rPr>
        <w:t> 284 65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sz w:val="14"/>
        </w:rPr>
      </w:r>
    </w:p>
    <w:p>
      <w:pPr>
        <w:spacing w:before="32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Elektro,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ars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solaris</w:t>
      </w:r>
      <w:r>
        <w:rPr>
          <w:rFonts w:ascii="Theinhardt Regular" w:hAnsi="Theinhardt Regular"/>
          <w:color w:val="231F20"/>
          <w:sz w:val="14"/>
        </w:rPr>
        <w:t> hächler, </w:t>
      </w:r>
      <w:r>
        <w:rPr>
          <w:rFonts w:ascii="Theinhardt Regular" w:hAnsi="Theinhardt Regular"/>
          <w:color w:val="231F20"/>
          <w:spacing w:val="1"/>
          <w:sz w:val="14"/>
        </w:rPr>
        <w:t>7000</w:t>
      </w:r>
      <w:r>
        <w:rPr>
          <w:rFonts w:ascii="Theinhardt Regular" w:hAnsi="Theinhardt Regular"/>
          <w:color w:val="231F20"/>
          <w:sz w:val="14"/>
        </w:rPr>
        <w:t> Chur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Solar, </w:t>
      </w:r>
      <w:r>
        <w:rPr>
          <w:rFonts w:ascii="Theinhardt Regular"/>
          <w:color w:val="231F20"/>
          <w:spacing w:val="1"/>
          <w:sz w:val="14"/>
        </w:rPr>
        <w:t>Sonnbau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7000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Chur,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875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73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3" w:equalWidth="0">
            <w:col w:w="3473" w:space="99"/>
            <w:col w:w="3472" w:space="99"/>
            <w:col w:w="358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7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7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849" cy="112776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849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70" w:val="left" w:leader="none"/>
        </w:tabs>
        <w:spacing w:before="12"/>
        <w:ind w:left="13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996002pt;width:345.827pt;height:227.056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440" w:right="740"/>
        </w:sectPr>
      </w:pPr>
    </w:p>
    <w:p>
      <w:pPr>
        <w:numPr>
          <w:ilvl w:val="0"/>
          <w:numId w:val="1"/>
        </w:numPr>
        <w:tabs>
          <w:tab w:pos="346" w:val="left" w:leader="none"/>
        </w:tabs>
        <w:spacing w:line="160" w:lineRule="exact" w:before="79"/>
        <w:ind w:left="345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90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14’900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6" w:val="left" w:leader="none"/>
        </w:tabs>
        <w:spacing w:line="160" w:lineRule="exact" w:before="79"/>
        <w:ind w:left="345" w:right="3754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Da das Haus in einer </w:t>
      </w:r>
      <w:r>
        <w:rPr>
          <w:rFonts w:ascii="Theinhardt Bold" w:hAnsi="Theinhardt Bold"/>
          <w:b/>
          <w:color w:val="231F20"/>
          <w:spacing w:val="-1"/>
          <w:sz w:val="14"/>
        </w:rPr>
        <w:t>Wohnschutzzone</w:t>
      </w:r>
      <w:r>
        <w:rPr>
          <w:rFonts w:ascii="Theinhardt Bold" w:hAnsi="Theinhardt Bold"/>
          <w:b/>
          <w:color w:val="231F20"/>
          <w:sz w:val="14"/>
        </w:rPr>
        <w:t> steht,</w:t>
      </w:r>
      <w:r>
        <w:rPr>
          <w:rFonts w:ascii="Theinhardt Bold" w:hAnsi="Theinhardt Bold"/>
          <w:b/>
          <w:color w:val="231F20"/>
          <w:spacing w:val="32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Gebäudecharakter bei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Sanierung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beibehalten.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2" w:equalWidth="0">
            <w:col w:w="3166" w:space="413"/>
            <w:col w:w="7151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5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rs.solaris@bluewin.ch" TargetMode="External"/><Relationship Id="rId7" Type="http://schemas.openxmlformats.org/officeDocument/2006/relationships/hyperlink" Target="mailto:ruedi@berchtold-architektur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2017-09-21T11:37:28Z</dcterms:created>
  <dcterms:modified xsi:type="dcterms:W3CDTF">2017-09-21T11:37:28Z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