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37" w:val="left" w:leader="none"/>
        </w:tabs>
        <w:spacing w:line="230" w:lineRule="exact" w:before="52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4.847289pt;width:.1pt;height:.1pt;mso-position-horizontal-relative:page;mso-position-vertical-relative:paragraph;z-index:-9808" coordorigin="571,297" coordsize="2,2">
            <v:shape style="position:absolute;left:571;top:297;width:2;height:2" coordorigin="571,297" coordsize="0,0" path="m571,297l571,29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298004pt;margin-top:14.847289pt;width:.1pt;height:.1pt;mso-position-horizontal-relative:page;mso-position-vertical-relative:paragraph;z-index:1144" coordorigin="3006,297" coordsize="2,2">
            <v:shape style="position:absolute;left:3006;top:297;width:2;height:2" coordorigin="3006,297" coordsize="0,0" path="m3006,297l3006,29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6.34729pt;width:.1pt;height:.1pt;mso-position-horizontal-relative:page;mso-position-vertical-relative:paragraph;z-index:-9760" coordorigin="571,527" coordsize="2,2">
            <v:shape style="position:absolute;left:571;top:527;width:2;height:2" coordorigin="571,527" coordsize="0,0" path="m571,527l571,52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298004pt;margin-top:26.34729pt;width:.1pt;height:.1pt;mso-position-horizontal-relative:page;mso-position-vertical-relative:paragraph;z-index:1192" coordorigin="3006,527" coordsize="2,2">
            <v:shape style="position:absolute;left:3006;top:527;width:2;height:2" coordorigin="3006,527" coordsize="0,0" path="m3006,527l3006,527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               </w:t>
      </w:r>
      <w:r>
        <w:rPr>
          <w:rFonts w:ascii="Theinhardt Heavy" w:hAnsi="Theinhardt Heavy"/>
          <w:b/>
          <w:color w:val="231F20"/>
          <w:spacing w:val="3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2017</w:t>
      </w:r>
      <w:r>
        <w:rPr>
          <w:rFonts w:ascii="Theinhardt Regular" w:hAnsi="Theinhardt Regular"/>
          <w:sz w:val="18"/>
        </w:rPr>
      </w:r>
    </w:p>
    <w:p>
      <w:pPr>
        <w:pStyle w:val="Heading1"/>
        <w:spacing w:line="240" w:lineRule="auto" w:before="9"/>
        <w:ind w:right="0" w:firstLine="0"/>
        <w:jc w:val="both"/>
      </w:pPr>
      <w:r>
        <w:rPr/>
        <w:pict>
          <v:shape style="position:absolute;margin-left:28.347pt;margin-top:15.290607pt;width:82.204400pt;height:60.2039pt;mso-position-horizontal-relative:page;mso-position-vertical-relative:paragraph;z-index:1216" type="#_x0000_t75" stroked="false">
            <v:imagedata r:id="rId5" o:title=""/>
          </v:shape>
        </w:pict>
      </w:r>
      <w:r>
        <w:rPr>
          <w:color w:val="231F20"/>
          <w:spacing w:val="-1"/>
        </w:rPr>
        <w:t>PlusEnergieBau</w:t>
      </w:r>
      <w:r>
        <w:rPr>
          <w:color w:val="231F20"/>
          <w:spacing w:val="-1"/>
          <w:position w:val="6"/>
          <w:sz w:val="10"/>
        </w:rPr>
        <w:t>®</w:t>
      </w:r>
      <w:r>
        <w:rPr>
          <w:color w:val="231F20"/>
          <w:spacing w:val="-1"/>
        </w:rPr>
        <w:t>-Diplom</w:t>
      </w:r>
      <w:r>
        <w:rPr>
          <w:color w:val="231F20"/>
          <w:spacing w:val="3"/>
        </w:rPr>
        <w:t> </w:t>
      </w:r>
      <w:r>
        <w:rPr>
          <w:color w:val="231F20"/>
        </w:rPr>
        <w:t>2017</w:t>
      </w:r>
      <w:r>
        <w:rPr/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Bürogebäude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Steffisburg/BE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konsequent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Energieeffizienz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erneuerbare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Energien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saniert.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Dämmung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Heizung-Lüftung-Kombination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solarem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Di-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rektgewinn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um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80%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32’200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6’490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Ost-West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ausgerichtet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Eigenenergieversor-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gung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15’200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233%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8’660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könnten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sechs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Elektroautos jährlich rund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12’000 km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38" w:space="141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spacing w:before="5"/>
        <w:ind w:left="115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2.76181pt;margin-top:43.431911pt;width:169.4pt;height:69.6pt;mso-position-horizontal-relative:page;mso-position-vertical-relative:paragraph;z-index:1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49"/>
                    <w:gridCol w:w="651"/>
                    <w:gridCol w:w="988"/>
                  </w:tblGrid>
                  <w:tr>
                    <w:trPr>
                      <w:trHeight w:val="296" w:hRule="exact"/>
                    </w:trPr>
                    <w:tc>
                      <w:tcPr>
                        <w:tcW w:w="1749" w:type="dxa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55" w:right="0"/>
                          <w:jc w:val="left"/>
                          <w:rPr>
                            <w:rFonts w:ascii="Theinhardt Black" w:hAnsi="Theinhardt Black" w:cs="Theinhardt Black" w:eastAsia="Theinhard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lack"/>
                            <w:b/>
                            <w:color w:val="231F20"/>
                            <w:sz w:val="14"/>
                          </w:rPr>
                          <w:t>Technische </w:t>
                        </w:r>
                        <w:r>
                          <w:rPr>
                            <w:rFonts w:ascii="Theinhardt Black"/>
                            <w:b/>
                            <w:color w:val="231F20"/>
                            <w:spacing w:val="1"/>
                            <w:sz w:val="14"/>
                          </w:rPr>
                          <w:t>Daten</w:t>
                        </w:r>
                        <w:r>
                          <w:rPr>
                            <w:rFonts w:ascii="Theinhardt Black"/>
                            <w:sz w:val="14"/>
                          </w:rPr>
                        </w:r>
                      </w:p>
                    </w:tc>
                    <w:tc>
                      <w:tcPr>
                        <w:tcW w:w="163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1749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 w:before="90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pacing w:val="1"/>
                            <w:sz w:val="14"/>
                          </w:rPr>
                          <w:t>Wärmedämmung</w:t>
                        </w:r>
                        <w:r>
                          <w:rPr>
                            <w:rFonts w:ascii="Theinhardt Bold" w:hAnsi="Theinhardt Bold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267" w:val="left" w:leader="none"/>
                          </w:tabs>
                          <w:spacing w:line="166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Wand:</w:t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28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79" w:lineRule="exact"/>
                          <w:ind w:left="9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dotted" w:sz="3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79" w:lineRule="exact"/>
                          <w:ind w:left="84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0.12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471" w:hRule="exact"/>
                    </w:trPr>
                    <w:tc>
                      <w:tcPr>
                        <w:tcW w:w="17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69" w:val="left" w:leader="none"/>
                          </w:tabs>
                          <w:spacing w:line="154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Dach:</w:t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24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263" w:val="left" w:leader="none"/>
                          </w:tabs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Boden:</w:t>
                          <w:tab/>
                          <w:t>40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49" w:val="left" w:leader="none"/>
                          </w:tabs>
                          <w:spacing w:line="158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Fenster:</w:t>
                          <w:tab/>
                          <w:t>dreifach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auto"/>
                          <w:ind w:left="93" w:right="82"/>
                          <w:jc w:val="both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color w:val="231F20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color w:val="231F20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84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0.14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84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0.12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58" w:lineRule="exact"/>
                          <w:ind w:left="1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0.7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338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46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Energiebedarf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vor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Sanierung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[100%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| 496%]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heinhardt Black" w:hAnsi="Theinhardt Black"/>
          <w:b/>
          <w:color w:val="0067B1"/>
          <w:sz w:val="40"/>
        </w:rPr>
        <w:t>233%-PEB-Büro</w:t>
      </w:r>
      <w:r>
        <w:rPr>
          <w:rFonts w:ascii="Theinhardt Black" w:hAnsi="Theinhardt Black"/>
          <w:b/>
          <w:color w:val="0067B1"/>
          <w:spacing w:val="-10"/>
          <w:sz w:val="40"/>
        </w:rPr>
        <w:t> </w:t>
      </w:r>
      <w:r>
        <w:rPr>
          <w:rFonts w:ascii="Theinhardt Black" w:hAnsi="Theinhardt Black"/>
          <w:b/>
          <w:color w:val="0067B1"/>
          <w:sz w:val="40"/>
        </w:rPr>
        <w:t>Christen,</w:t>
      </w:r>
      <w:r>
        <w:rPr>
          <w:rFonts w:ascii="Theinhardt Black" w:hAnsi="Theinhardt Black"/>
          <w:b/>
          <w:color w:val="0067B1"/>
          <w:spacing w:val="-10"/>
          <w:sz w:val="40"/>
        </w:rPr>
        <w:t> </w:t>
      </w:r>
      <w:r>
        <w:rPr>
          <w:rFonts w:ascii="Theinhardt Black" w:hAnsi="Theinhardt Black"/>
          <w:b/>
          <w:color w:val="0067B1"/>
          <w:sz w:val="40"/>
        </w:rPr>
        <w:t>3613</w:t>
      </w:r>
      <w:r>
        <w:rPr>
          <w:rFonts w:ascii="Theinhardt Black" w:hAnsi="Theinhardt Black"/>
          <w:b/>
          <w:color w:val="0067B1"/>
          <w:spacing w:val="-10"/>
          <w:sz w:val="40"/>
        </w:rPr>
        <w:t> </w:t>
      </w:r>
      <w:r>
        <w:rPr>
          <w:rFonts w:ascii="Theinhardt Black" w:hAnsi="Theinhardt Black"/>
          <w:b/>
          <w:color w:val="0067B1"/>
          <w:sz w:val="40"/>
        </w:rPr>
        <w:t>Steffisburg/BE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1"/>
        <w:spacing w:line="230" w:lineRule="exact" w:before="52"/>
        <w:ind w:right="0" w:firstLine="0"/>
        <w:jc w:val="both"/>
      </w:pP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Sanierung</w:t>
      </w:r>
      <w:r>
        <w:rPr>
          <w:color w:val="231F20"/>
          <w:spacing w:val="8"/>
        </w:rPr>
        <w:t> </w:t>
      </w:r>
      <w:r>
        <w:rPr>
          <w:color w:val="231F20"/>
        </w:rPr>
        <w:t>des </w:t>
      </w:r>
      <w:r>
        <w:rPr>
          <w:color w:val="231F20"/>
          <w:spacing w:val="8"/>
        </w:rPr>
        <w:t> </w:t>
      </w:r>
      <w:r>
        <w:rPr>
          <w:color w:val="231F20"/>
        </w:rPr>
        <w:t>Verwaltungsgebäudes</w:t>
      </w:r>
      <w:r>
        <w:rPr>
          <w:color w:val="231F20"/>
        </w:rPr>
        <w:t> in</w:t>
      </w:r>
      <w:r>
        <w:rPr>
          <w:color w:val="231F20"/>
          <w:spacing w:val="3"/>
        </w:rPr>
        <w:t> </w:t>
      </w:r>
      <w:r>
        <w:rPr>
          <w:color w:val="231F20"/>
        </w:rPr>
        <w:t>Steffisburg</w:t>
      </w:r>
      <w:r>
        <w:rPr>
          <w:color w:val="231F20"/>
          <w:spacing w:val="3"/>
        </w:rPr>
        <w:t> </w:t>
      </w:r>
      <w:r>
        <w:rPr>
          <w:color w:val="231F20"/>
        </w:rPr>
        <w:t>soll</w:t>
      </w:r>
      <w:r>
        <w:rPr>
          <w:color w:val="231F20"/>
          <w:spacing w:val="3"/>
        </w:rPr>
        <w:t> </w:t>
      </w:r>
      <w:r>
        <w:rPr>
          <w:color w:val="231F20"/>
        </w:rPr>
        <w:t>als</w:t>
      </w:r>
      <w:r>
        <w:rPr>
          <w:color w:val="231F20"/>
          <w:spacing w:val="3"/>
        </w:rPr>
        <w:t> </w:t>
      </w:r>
      <w:r>
        <w:rPr>
          <w:color w:val="231F20"/>
        </w:rPr>
        <w:t>Vorbild</w:t>
      </w:r>
      <w:r>
        <w:rPr>
          <w:color w:val="231F20"/>
          <w:spacing w:val="3"/>
        </w:rPr>
        <w:t> </w:t>
      </w:r>
      <w:r>
        <w:rPr>
          <w:color w:val="231F20"/>
        </w:rPr>
        <w:t>für</w:t>
      </w:r>
      <w:r>
        <w:rPr>
          <w:color w:val="231F20"/>
          <w:spacing w:val="3"/>
        </w:rPr>
        <w:t> </w:t>
      </w:r>
      <w:r>
        <w:rPr>
          <w:color w:val="231F20"/>
        </w:rPr>
        <w:t>eine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hoch-</w:t>
      </w:r>
      <w:r>
        <w:rPr>
          <w:color w:val="231F20"/>
          <w:spacing w:val="24"/>
        </w:rPr>
        <w:t> </w:t>
      </w:r>
      <w:r>
        <w:rPr>
          <w:color w:val="231F20"/>
        </w:rPr>
        <w:t>wertige</w:t>
      </w:r>
      <w:r>
        <w:rPr>
          <w:color w:val="231F20"/>
          <w:spacing w:val="46"/>
        </w:rPr>
        <w:t> </w:t>
      </w:r>
      <w:r>
        <w:rPr>
          <w:color w:val="231F20"/>
        </w:rPr>
        <w:t>Solararchitektur</w:t>
      </w:r>
      <w:r>
        <w:rPr>
          <w:color w:val="231F20"/>
          <w:spacing w:val="47"/>
        </w:rPr>
        <w:t> </w:t>
      </w:r>
      <w:r>
        <w:rPr>
          <w:color w:val="231F20"/>
        </w:rPr>
        <w:t>dienen.</w:t>
      </w:r>
      <w:r>
        <w:rPr>
          <w:color w:val="231F20"/>
          <w:spacing w:val="46"/>
        </w:rPr>
        <w:t> </w:t>
      </w:r>
      <w:r>
        <w:rPr>
          <w:color w:val="231F20"/>
        </w:rPr>
        <w:t>Die</w:t>
      </w:r>
      <w:r>
        <w:rPr>
          <w:color w:val="231F20"/>
          <w:spacing w:val="47"/>
        </w:rPr>
        <w:t> </w:t>
      </w:r>
      <w:r>
        <w:rPr>
          <w:color w:val="231F20"/>
        </w:rPr>
        <w:t>Aus-</w:t>
      </w:r>
      <w:r>
        <w:rPr>
          <w:color w:val="231F20"/>
        </w:rPr>
        <w:t> </w:t>
      </w:r>
      <w:r>
        <w:rPr>
          <w:color w:val="231F20"/>
          <w:spacing w:val="-1"/>
        </w:rPr>
        <w:t>senform</w:t>
      </w:r>
      <w:r>
        <w:rPr>
          <w:color w:val="231F20"/>
          <w:spacing w:val="36"/>
        </w:rPr>
        <w:t> </w:t>
      </w:r>
      <w:r>
        <w:rPr>
          <w:color w:val="231F20"/>
        </w:rPr>
        <w:t>des</w:t>
      </w:r>
      <w:r>
        <w:rPr>
          <w:color w:val="231F20"/>
          <w:spacing w:val="37"/>
        </w:rPr>
        <w:t> </w:t>
      </w:r>
      <w:r>
        <w:rPr>
          <w:color w:val="231F20"/>
        </w:rPr>
        <w:t>Hauses</w:t>
      </w:r>
      <w:r>
        <w:rPr>
          <w:color w:val="231F20"/>
          <w:spacing w:val="36"/>
        </w:rPr>
        <w:t> </w:t>
      </w:r>
      <w:r>
        <w:rPr>
          <w:color w:val="231F20"/>
        </w:rPr>
        <w:t>ist</w:t>
      </w:r>
      <w:r>
        <w:rPr>
          <w:color w:val="231F20"/>
          <w:spacing w:val="37"/>
        </w:rPr>
        <w:t> </w:t>
      </w:r>
      <w:r>
        <w:rPr>
          <w:color w:val="231F20"/>
        </w:rPr>
        <w:t>schlicht</w:t>
      </w:r>
      <w:r>
        <w:rPr>
          <w:color w:val="231F20"/>
          <w:spacing w:val="37"/>
        </w:rPr>
        <w:t> </w:t>
      </w:r>
      <w:r>
        <w:rPr>
          <w:color w:val="231F20"/>
        </w:rPr>
        <w:t>gehalten</w:t>
      </w:r>
      <w:r>
        <w:rPr>
          <w:color w:val="231F20"/>
          <w:spacing w:val="25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auf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-3"/>
        </w:rPr>
        <w:t> </w:t>
      </w:r>
      <w:r>
        <w:rPr>
          <w:color w:val="231F20"/>
        </w:rPr>
        <w:t>Wesentliche</w:t>
      </w:r>
      <w:r>
        <w:rPr>
          <w:color w:val="231F20"/>
          <w:spacing w:val="-3"/>
        </w:rPr>
        <w:t> </w:t>
      </w:r>
      <w:r>
        <w:rPr>
          <w:color w:val="231F20"/>
        </w:rPr>
        <w:t>reduziert.</w:t>
      </w:r>
      <w:r>
        <w:rPr>
          <w:color w:val="231F20"/>
          <w:spacing w:val="-3"/>
        </w:rPr>
        <w:t> </w:t>
      </w:r>
      <w:r>
        <w:rPr>
          <w:color w:val="231F20"/>
        </w:rPr>
        <w:t>Grossen</w:t>
      </w:r>
      <w:r>
        <w:rPr>
          <w:color w:val="231F20"/>
        </w:rPr>
        <w:t> Wert</w:t>
      </w:r>
      <w:r>
        <w:rPr>
          <w:color w:val="231F20"/>
          <w:spacing w:val="22"/>
        </w:rPr>
        <w:t> </w:t>
      </w:r>
      <w:r>
        <w:rPr>
          <w:color w:val="231F20"/>
        </w:rPr>
        <w:t>wurde</w:t>
      </w:r>
      <w:r>
        <w:rPr>
          <w:color w:val="231F20"/>
          <w:spacing w:val="22"/>
        </w:rPr>
        <w:t> </w:t>
      </w:r>
      <w:r>
        <w:rPr>
          <w:color w:val="231F20"/>
        </w:rPr>
        <w:t>auf</w:t>
      </w:r>
      <w:r>
        <w:rPr>
          <w:color w:val="231F20"/>
          <w:spacing w:val="22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Auswahl</w:t>
      </w:r>
      <w:r>
        <w:rPr>
          <w:color w:val="231F20"/>
          <w:spacing w:val="22"/>
        </w:rPr>
        <w:t> </w:t>
      </w:r>
      <w:r>
        <w:rPr>
          <w:color w:val="231F20"/>
        </w:rPr>
        <w:t>und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Behand-</w:t>
      </w:r>
      <w:r>
        <w:rPr>
          <w:color w:val="231F20"/>
          <w:spacing w:val="26"/>
        </w:rPr>
        <w:t> </w:t>
      </w:r>
      <w:r>
        <w:rPr>
          <w:color w:val="231F20"/>
        </w:rPr>
        <w:t>lung der Materialien gelegt.</w:t>
      </w:r>
      <w:r>
        <w:rPr/>
      </w:r>
    </w:p>
    <w:p>
      <w:pPr>
        <w:spacing w:line="232" w:lineRule="auto" w:before="14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Fassade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ist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aussen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Holzfaser</w:t>
      </w:r>
      <w:r>
        <w:rPr>
          <w:rFonts w:ascii="Theinhardt Regular" w:hAnsi="Theinhardt Regular"/>
          <w:color w:val="231F20"/>
          <w:spacing w:val="-1"/>
          <w:sz w:val="18"/>
        </w:rPr>
        <w:t> ge-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dämmt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einer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Eichenschalung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</w:t>
      </w:r>
      <w:r>
        <w:rPr>
          <w:rFonts w:ascii="Theinhardt Regular" w:hAnsi="Theinhardt Regular"/>
          <w:color w:val="231F20"/>
          <w:sz w:val="18"/>
        </w:rPr>
        <w:t> Schweizer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Holz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verkleidet.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Schalung</w:t>
      </w:r>
      <w:r>
        <w:rPr>
          <w:rFonts w:ascii="Theinhardt Regular" w:hAnsi="Theinhardt Regular"/>
          <w:color w:val="231F20"/>
          <w:sz w:val="18"/>
        </w:rPr>
        <w:t> wurde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von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einem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Künstler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bearbeitet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z w:val="18"/>
        </w:rPr>
        <w:t> mit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Eisenpulver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behandelt.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Dadurch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ver-</w:t>
      </w:r>
      <w:r>
        <w:rPr>
          <w:rFonts w:ascii="Theinhardt Regular" w:hAnsi="Theinhardt Regular"/>
          <w:color w:val="231F20"/>
          <w:sz w:val="18"/>
        </w:rPr>
        <w:t> ändert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sich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Farbe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Verkleidung: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z w:val="18"/>
        </w:rPr>
        <w:t> Eiche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oxidiert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wird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schwarz,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Eisen-</w:t>
      </w:r>
      <w:r>
        <w:rPr>
          <w:rFonts w:ascii="Theinhardt Regular" w:hAnsi="Theinhardt Regular"/>
          <w:color w:val="231F20"/>
          <w:sz w:val="18"/>
        </w:rPr>
        <w:t> pulver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wird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rostig.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Trotz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modernen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De-</w:t>
      </w:r>
      <w:r>
        <w:rPr>
          <w:rFonts w:ascii="Theinhardt Regular" w:hAnsi="Theinhardt Regular"/>
          <w:color w:val="231F20"/>
          <w:sz w:val="18"/>
        </w:rPr>
        <w:t> signs</w:t>
      </w:r>
      <w:r>
        <w:rPr>
          <w:rFonts w:ascii="Theinhardt Regular" w:hAnsi="Theinhardt Regular"/>
          <w:color w:val="231F20"/>
          <w:spacing w:val="-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hat</w:t>
      </w:r>
      <w:r>
        <w:rPr>
          <w:rFonts w:ascii="Theinhardt Regular" w:hAnsi="Theinhardt Regular"/>
          <w:color w:val="231F20"/>
          <w:spacing w:val="-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-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Gebäude</w:t>
      </w:r>
      <w:r>
        <w:rPr>
          <w:rFonts w:ascii="Theinhardt Regular" w:hAnsi="Theinhardt Regular"/>
          <w:color w:val="231F20"/>
          <w:spacing w:val="-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seinen</w:t>
      </w:r>
      <w:r>
        <w:rPr>
          <w:rFonts w:ascii="Theinhardt Regular" w:hAnsi="Theinhardt Regular"/>
          <w:color w:val="231F20"/>
          <w:spacing w:val="-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traditionellen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2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rénovation</w:t>
      </w:r>
      <w:r>
        <w:rPr>
          <w:color w:val="231F20"/>
          <w:spacing w:val="31"/>
        </w:rPr>
        <w:t> </w:t>
      </w:r>
      <w:r>
        <w:rPr>
          <w:color w:val="231F20"/>
        </w:rPr>
        <w:t>du</w:t>
      </w:r>
      <w:r>
        <w:rPr>
          <w:color w:val="231F20"/>
          <w:spacing w:val="30"/>
        </w:rPr>
        <w:t> </w:t>
      </w:r>
      <w:r>
        <w:rPr>
          <w:color w:val="231F20"/>
        </w:rPr>
        <w:t>bâtiment</w:t>
      </w:r>
      <w:r>
        <w:rPr>
          <w:color w:val="231F20"/>
          <w:spacing w:val="31"/>
        </w:rPr>
        <w:t> </w:t>
      </w:r>
      <w:r>
        <w:rPr>
          <w:color w:val="231F20"/>
        </w:rPr>
        <w:t>administratif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</w:rPr>
        <w:t> Steffisbourg</w:t>
      </w:r>
      <w:r>
        <w:rPr>
          <w:color w:val="231F20"/>
          <w:spacing w:val="34"/>
        </w:rPr>
        <w:t> </w:t>
      </w:r>
      <w:r>
        <w:rPr>
          <w:color w:val="231F20"/>
        </w:rPr>
        <w:t>(BE)</w:t>
      </w:r>
      <w:r>
        <w:rPr>
          <w:color w:val="231F20"/>
          <w:spacing w:val="35"/>
        </w:rPr>
        <w:t> </w:t>
      </w:r>
      <w:r>
        <w:rPr>
          <w:color w:val="231F20"/>
        </w:rPr>
        <w:t>devrait</w:t>
      </w:r>
      <w:r>
        <w:rPr>
          <w:color w:val="231F20"/>
          <w:spacing w:val="35"/>
        </w:rPr>
        <w:t> </w:t>
      </w:r>
      <w:r>
        <w:rPr>
          <w:color w:val="231F20"/>
        </w:rPr>
        <w:t>servir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modèle</w:t>
      </w:r>
      <w:r>
        <w:rPr>
          <w:color w:val="231F20"/>
        </w:rPr>
        <w:t> à</w:t>
      </w:r>
      <w:r>
        <w:rPr>
          <w:color w:val="231F20"/>
          <w:spacing w:val="39"/>
        </w:rPr>
        <w:t> </w:t>
      </w:r>
      <w:r>
        <w:rPr>
          <w:color w:val="231F20"/>
        </w:rPr>
        <w:t>une</w:t>
      </w:r>
      <w:r>
        <w:rPr>
          <w:color w:val="231F20"/>
          <w:spacing w:val="40"/>
        </w:rPr>
        <w:t> </w:t>
      </w:r>
      <w:r>
        <w:rPr>
          <w:color w:val="231F20"/>
        </w:rPr>
        <w:t>architecture</w:t>
      </w:r>
      <w:r>
        <w:rPr>
          <w:color w:val="231F20"/>
          <w:spacing w:val="39"/>
        </w:rPr>
        <w:t> </w:t>
      </w:r>
      <w:r>
        <w:rPr>
          <w:color w:val="231F20"/>
        </w:rPr>
        <w:t>solaire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haut</w:t>
      </w:r>
      <w:r>
        <w:rPr>
          <w:color w:val="231F20"/>
          <w:spacing w:val="39"/>
        </w:rPr>
        <w:t> </w:t>
      </w:r>
      <w:r>
        <w:rPr>
          <w:color w:val="231F20"/>
        </w:rPr>
        <w:t>niveau.</w:t>
      </w:r>
      <w:r>
        <w:rPr>
          <w:color w:val="231F20"/>
        </w:rPr>
        <w:t> L’extérieur</w:t>
      </w:r>
      <w:r>
        <w:rPr>
          <w:color w:val="231F20"/>
          <w:spacing w:val="26"/>
        </w:rPr>
        <w:t> </w:t>
      </w:r>
      <w:r>
        <w:rPr>
          <w:color w:val="231F20"/>
        </w:rPr>
        <w:t>du</w:t>
      </w:r>
      <w:r>
        <w:rPr>
          <w:color w:val="231F20"/>
          <w:spacing w:val="27"/>
        </w:rPr>
        <w:t> </w:t>
      </w:r>
      <w:r>
        <w:rPr>
          <w:color w:val="231F20"/>
        </w:rPr>
        <w:t>BEP</w:t>
      </w:r>
      <w:r>
        <w:rPr>
          <w:color w:val="231F20"/>
          <w:spacing w:val="26"/>
        </w:rPr>
        <w:t> </w:t>
      </w:r>
      <w:r>
        <w:rPr>
          <w:color w:val="231F20"/>
        </w:rPr>
        <w:t>est</w:t>
      </w:r>
      <w:r>
        <w:rPr>
          <w:color w:val="231F20"/>
          <w:spacing w:val="27"/>
        </w:rPr>
        <w:t> </w:t>
      </w:r>
      <w:r>
        <w:rPr>
          <w:color w:val="231F20"/>
        </w:rPr>
        <w:t>réduit</w:t>
      </w:r>
      <w:r>
        <w:rPr>
          <w:color w:val="231F20"/>
          <w:spacing w:val="27"/>
        </w:rPr>
        <w:t> </w:t>
      </w:r>
      <w:r>
        <w:rPr>
          <w:color w:val="231F20"/>
        </w:rPr>
        <w:t>à</w:t>
      </w:r>
      <w:r>
        <w:rPr>
          <w:color w:val="231F20"/>
          <w:spacing w:val="26"/>
        </w:rPr>
        <w:t> </w:t>
      </w:r>
      <w:r>
        <w:rPr>
          <w:color w:val="231F20"/>
        </w:rPr>
        <w:t>l’essentiel,</w:t>
      </w:r>
      <w:r>
        <w:rPr>
          <w:color w:val="231F20"/>
        </w:rPr>
        <w:t> avec</w:t>
      </w:r>
      <w:r>
        <w:rPr>
          <w:color w:val="231F20"/>
          <w:spacing w:val="2"/>
        </w:rPr>
        <w:t> </w:t>
      </w:r>
      <w:r>
        <w:rPr>
          <w:color w:val="231F20"/>
        </w:rPr>
        <w:t>sa</w:t>
      </w:r>
      <w:r>
        <w:rPr>
          <w:color w:val="231F20"/>
          <w:spacing w:val="2"/>
        </w:rPr>
        <w:t> </w:t>
      </w:r>
      <w:r>
        <w:rPr>
          <w:color w:val="231F20"/>
        </w:rPr>
        <w:t>structure</w:t>
      </w:r>
      <w:r>
        <w:rPr>
          <w:color w:val="231F20"/>
          <w:spacing w:val="2"/>
        </w:rPr>
        <w:t> </w:t>
      </w:r>
      <w:r>
        <w:rPr>
          <w:color w:val="231F20"/>
        </w:rPr>
        <w:t>épurée.</w:t>
      </w:r>
      <w:r>
        <w:rPr>
          <w:color w:val="231F20"/>
          <w:spacing w:val="2"/>
        </w:rPr>
        <w:t> </w:t>
      </w:r>
      <w:r>
        <w:rPr>
          <w:color w:val="231F20"/>
        </w:rPr>
        <w:t>Le</w:t>
      </w:r>
      <w:r>
        <w:rPr>
          <w:color w:val="231F20"/>
          <w:spacing w:val="2"/>
        </w:rPr>
        <w:t> </w:t>
      </w:r>
      <w:r>
        <w:rPr>
          <w:color w:val="231F20"/>
        </w:rPr>
        <w:t>choix</w:t>
      </w:r>
      <w:r>
        <w:rPr>
          <w:color w:val="231F20"/>
          <w:spacing w:val="2"/>
        </w:rPr>
        <w:t> </w:t>
      </w:r>
      <w:r>
        <w:rPr>
          <w:color w:val="231F20"/>
        </w:rPr>
        <w:t>et</w:t>
      </w:r>
      <w:r>
        <w:rPr>
          <w:color w:val="231F20"/>
          <w:spacing w:val="2"/>
        </w:rPr>
        <w:t> </w:t>
      </w:r>
      <w:r>
        <w:rPr>
          <w:color w:val="231F20"/>
        </w:rPr>
        <w:t>le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trai-</w:t>
      </w:r>
      <w:r>
        <w:rPr>
          <w:color w:val="231F20"/>
          <w:spacing w:val="24"/>
        </w:rPr>
        <w:t> </w:t>
      </w:r>
      <w:r>
        <w:rPr>
          <w:color w:val="231F20"/>
        </w:rPr>
        <w:t>tement</w:t>
      </w:r>
      <w:r>
        <w:rPr>
          <w:color w:val="231F20"/>
          <w:spacing w:val="23"/>
        </w:rPr>
        <w:t> </w:t>
      </w:r>
      <w:r>
        <w:rPr>
          <w:color w:val="231F20"/>
        </w:rPr>
        <w:t>des</w:t>
      </w:r>
      <w:r>
        <w:rPr>
          <w:color w:val="231F20"/>
          <w:spacing w:val="23"/>
        </w:rPr>
        <w:t> </w:t>
      </w:r>
      <w:r>
        <w:rPr>
          <w:color w:val="231F20"/>
        </w:rPr>
        <w:t>matériaux</w:t>
      </w:r>
      <w:r>
        <w:rPr>
          <w:color w:val="231F20"/>
          <w:spacing w:val="23"/>
        </w:rPr>
        <w:t> </w:t>
      </w:r>
      <w:r>
        <w:rPr>
          <w:color w:val="231F20"/>
        </w:rPr>
        <w:t>ont</w:t>
      </w:r>
      <w:r>
        <w:rPr>
          <w:color w:val="231F20"/>
          <w:spacing w:val="23"/>
        </w:rPr>
        <w:t> </w:t>
      </w:r>
      <w:r>
        <w:rPr>
          <w:color w:val="231F20"/>
        </w:rPr>
        <w:t>fait</w:t>
      </w:r>
      <w:r>
        <w:rPr>
          <w:color w:val="231F20"/>
          <w:spacing w:val="23"/>
        </w:rPr>
        <w:t> </w:t>
      </w:r>
      <w:r>
        <w:rPr>
          <w:color w:val="231F20"/>
        </w:rPr>
        <w:t>l’objet</w:t>
      </w:r>
      <w:r>
        <w:rPr>
          <w:color w:val="231F20"/>
          <w:spacing w:val="23"/>
        </w:rPr>
        <w:t> </w:t>
      </w:r>
      <w:r>
        <w:rPr>
          <w:color w:val="231F20"/>
        </w:rPr>
        <w:t>d’une</w:t>
      </w:r>
      <w:r>
        <w:rPr>
          <w:color w:val="231F20"/>
        </w:rPr>
        <w:t> attention particulière.</w:t>
      </w:r>
      <w:r>
        <w:rPr>
          <w:i w:val="0"/>
        </w:rPr>
      </w:r>
    </w:p>
    <w:p>
      <w:pPr>
        <w:pStyle w:val="BodyText"/>
        <w:spacing w:line="232" w:lineRule="auto" w:before="14"/>
        <w:ind w:right="0"/>
        <w:jc w:val="both"/>
        <w:rPr>
          <w:i w:val="0"/>
        </w:rPr>
      </w:pP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façade</w:t>
      </w:r>
      <w:r>
        <w:rPr>
          <w:color w:val="231F20"/>
          <w:spacing w:val="4"/>
        </w:rPr>
        <w:t> </w:t>
      </w:r>
      <w:r>
        <w:rPr>
          <w:color w:val="231F20"/>
        </w:rPr>
        <w:t>est</w:t>
      </w:r>
      <w:r>
        <w:rPr>
          <w:color w:val="231F20"/>
          <w:spacing w:val="4"/>
        </w:rPr>
        <w:t> </w:t>
      </w:r>
      <w:r>
        <w:rPr>
          <w:color w:val="231F20"/>
        </w:rPr>
        <w:t>isolée</w:t>
      </w:r>
      <w:r>
        <w:rPr>
          <w:color w:val="231F20"/>
          <w:spacing w:val="4"/>
        </w:rPr>
        <w:t> </w:t>
      </w:r>
      <w:r>
        <w:rPr>
          <w:color w:val="231F20"/>
        </w:rPr>
        <w:t>extérieurement</w:t>
      </w:r>
      <w:r>
        <w:rPr>
          <w:color w:val="231F20"/>
          <w:spacing w:val="4"/>
        </w:rPr>
        <w:t> </w:t>
      </w:r>
      <w:r>
        <w:rPr>
          <w:color w:val="231F20"/>
        </w:rPr>
        <w:t>avec</w:t>
      </w:r>
      <w:r>
        <w:rPr>
          <w:color w:val="231F20"/>
        </w:rPr>
        <w:t> 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fibre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bois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4"/>
        </w:rPr>
        <w:t> </w:t>
      </w:r>
      <w:r>
        <w:rPr>
          <w:color w:val="231F20"/>
        </w:rPr>
        <w:t>recouverte</w:t>
      </w:r>
      <w:r>
        <w:rPr>
          <w:color w:val="231F20"/>
          <w:spacing w:val="-14"/>
        </w:rPr>
        <w:t> </w:t>
      </w:r>
      <w:r>
        <w:rPr>
          <w:color w:val="231F20"/>
        </w:rPr>
        <w:t>d’un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bardage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chêne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qualité</w:t>
      </w:r>
      <w:r>
        <w:rPr>
          <w:color w:val="231F20"/>
          <w:spacing w:val="-14"/>
        </w:rPr>
        <w:t> </w:t>
      </w:r>
      <w:r>
        <w:rPr>
          <w:color w:val="231F20"/>
        </w:rPr>
        <w:t>suisse.</w:t>
      </w:r>
      <w:r>
        <w:rPr>
          <w:color w:val="231F20"/>
          <w:spacing w:val="-14"/>
        </w:rPr>
        <w:t> </w:t>
      </w:r>
      <w:r>
        <w:rPr>
          <w:color w:val="231F20"/>
        </w:rPr>
        <w:t>Celui-ci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été</w:t>
      </w:r>
      <w:r>
        <w:rPr>
          <w:color w:val="231F20"/>
          <w:spacing w:val="-14"/>
        </w:rPr>
        <w:t> </w:t>
      </w:r>
      <w:r>
        <w:rPr>
          <w:color w:val="231F20"/>
        </w:rPr>
        <w:t>réa-</w:t>
      </w:r>
      <w:r>
        <w:rPr>
          <w:color w:val="231F20"/>
        </w:rPr>
        <w:t> lisé</w:t>
      </w:r>
      <w:r>
        <w:rPr>
          <w:color w:val="231F20"/>
          <w:spacing w:val="2"/>
        </w:rPr>
        <w:t> </w:t>
      </w:r>
      <w:r>
        <w:rPr>
          <w:color w:val="231F20"/>
        </w:rPr>
        <w:t>par</w:t>
      </w:r>
      <w:r>
        <w:rPr>
          <w:color w:val="231F20"/>
          <w:spacing w:val="2"/>
        </w:rPr>
        <w:t> </w:t>
      </w:r>
      <w:r>
        <w:rPr>
          <w:color w:val="231F20"/>
        </w:rPr>
        <w:t>un</w:t>
      </w:r>
      <w:r>
        <w:rPr>
          <w:color w:val="231F20"/>
          <w:spacing w:val="2"/>
        </w:rPr>
        <w:t> </w:t>
      </w:r>
      <w:r>
        <w:rPr>
          <w:color w:val="231F20"/>
        </w:rPr>
        <w:t>artiste</w:t>
      </w:r>
      <w:r>
        <w:rPr>
          <w:color w:val="231F20"/>
          <w:spacing w:val="2"/>
        </w:rPr>
        <w:t> </w:t>
      </w:r>
      <w:r>
        <w:rPr>
          <w:color w:val="231F20"/>
        </w:rPr>
        <w:t>et</w:t>
      </w:r>
      <w:r>
        <w:rPr>
          <w:color w:val="231F20"/>
          <w:spacing w:val="2"/>
        </w:rPr>
        <w:t> </w:t>
      </w:r>
      <w:r>
        <w:rPr>
          <w:color w:val="231F20"/>
        </w:rPr>
        <w:t>traité</w:t>
      </w:r>
      <w:r>
        <w:rPr>
          <w:color w:val="231F20"/>
          <w:spacing w:val="2"/>
        </w:rPr>
        <w:t> </w:t>
      </w:r>
      <w:r>
        <w:rPr>
          <w:color w:val="231F20"/>
        </w:rPr>
        <w:t>avec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poudre</w:t>
      </w:r>
      <w:r>
        <w:rPr>
          <w:color w:val="231F20"/>
        </w:rPr>
        <w:t> de</w:t>
      </w:r>
      <w:r>
        <w:rPr>
          <w:color w:val="231F20"/>
          <w:spacing w:val="-16"/>
        </w:rPr>
        <w:t> </w:t>
      </w:r>
      <w:r>
        <w:rPr>
          <w:color w:val="231F20"/>
        </w:rPr>
        <w:t>fer,</w:t>
      </w:r>
      <w:r>
        <w:rPr>
          <w:color w:val="231F20"/>
          <w:spacing w:val="-16"/>
        </w:rPr>
        <w:t> </w:t>
      </w:r>
      <w:r>
        <w:rPr>
          <w:color w:val="231F20"/>
        </w:rPr>
        <w:t>ce</w:t>
      </w:r>
      <w:r>
        <w:rPr>
          <w:color w:val="231F20"/>
          <w:spacing w:val="-15"/>
        </w:rPr>
        <w:t> </w:t>
      </w:r>
      <w:r>
        <w:rPr>
          <w:color w:val="231F20"/>
        </w:rPr>
        <w:t>qui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modifie</w:t>
      </w:r>
      <w:r>
        <w:rPr>
          <w:color w:val="231F20"/>
          <w:spacing w:val="-16"/>
        </w:rPr>
        <w:t> </w:t>
      </w:r>
      <w:r>
        <w:rPr>
          <w:color w:val="231F20"/>
        </w:rPr>
        <w:t>peu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6"/>
        </w:rPr>
        <w:t> </w:t>
      </w:r>
      <w:r>
        <w:rPr>
          <w:color w:val="231F20"/>
        </w:rPr>
        <w:t>peu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couleur:</w:t>
      </w:r>
      <w:r>
        <w:rPr>
          <w:color w:val="231F20"/>
        </w:rPr>
        <w:t> le</w:t>
      </w:r>
      <w:r>
        <w:rPr>
          <w:color w:val="231F20"/>
          <w:spacing w:val="-15"/>
        </w:rPr>
        <w:t> </w:t>
      </w:r>
      <w:r>
        <w:rPr>
          <w:color w:val="231F20"/>
        </w:rPr>
        <w:t>chêne</w:t>
      </w:r>
      <w:r>
        <w:rPr>
          <w:color w:val="231F20"/>
          <w:spacing w:val="-15"/>
        </w:rPr>
        <w:t> </w:t>
      </w:r>
      <w:r>
        <w:rPr>
          <w:color w:val="231F20"/>
        </w:rPr>
        <w:t>s’oxyde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5"/>
        </w:rPr>
        <w:t> </w:t>
      </w:r>
      <w:r>
        <w:rPr>
          <w:color w:val="231F20"/>
        </w:rPr>
        <w:t>devient</w:t>
      </w:r>
      <w:r>
        <w:rPr>
          <w:color w:val="231F20"/>
          <w:spacing w:val="-15"/>
        </w:rPr>
        <w:t> </w:t>
      </w:r>
      <w:r>
        <w:rPr>
          <w:color w:val="231F20"/>
        </w:rPr>
        <w:t>noir,</w:t>
      </w:r>
      <w:r>
        <w:rPr>
          <w:color w:val="231F20"/>
          <w:spacing w:val="-15"/>
        </w:rPr>
        <w:t> </w:t>
      </w:r>
      <w:r>
        <w:rPr>
          <w:color w:val="231F20"/>
        </w:rPr>
        <w:t>tandis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</w:rPr>
        <w:t> poudre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fer</w:t>
      </w:r>
      <w:r>
        <w:rPr>
          <w:color w:val="231F20"/>
          <w:spacing w:val="-6"/>
        </w:rPr>
        <w:t> </w:t>
      </w:r>
      <w:r>
        <w:rPr>
          <w:color w:val="231F20"/>
        </w:rPr>
        <w:t>rouille.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Malgré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6"/>
        </w:rPr>
        <w:t> </w:t>
      </w:r>
      <w:r>
        <w:rPr>
          <w:color w:val="231F20"/>
        </w:rPr>
        <w:t>conception</w:t>
      </w:r>
      <w:r>
        <w:rPr>
          <w:color w:val="231F20"/>
          <w:spacing w:val="21"/>
        </w:rPr>
        <w:t> </w:t>
      </w:r>
      <w:r>
        <w:rPr>
          <w:color w:val="231F20"/>
        </w:rPr>
        <w:t>moderne,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bâtiment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conservé</w:t>
      </w:r>
      <w:r>
        <w:rPr>
          <w:color w:val="231F20"/>
          <w:spacing w:val="-2"/>
        </w:rPr>
        <w:t> </w:t>
      </w:r>
      <w:r>
        <w:rPr>
          <w:color w:val="231F20"/>
        </w:rPr>
        <w:t>son</w:t>
      </w:r>
      <w:r>
        <w:rPr>
          <w:color w:val="231F20"/>
          <w:spacing w:val="-2"/>
        </w:rPr>
        <w:t> </w:t>
      </w:r>
      <w:r>
        <w:rPr>
          <w:color w:val="231F20"/>
        </w:rPr>
        <w:t>aspect</w:t>
      </w:r>
      <w:r>
        <w:rPr>
          <w:color w:val="231F20"/>
        </w:rPr>
        <w:t> traditionnel.</w:t>
      </w:r>
      <w:r>
        <w:rPr>
          <w:i w:val="0"/>
        </w:rPr>
      </w:r>
    </w:p>
    <w:p>
      <w:pPr>
        <w:spacing w:line="240" w:lineRule="auto" w:before="6"/>
        <w:rPr>
          <w:rFonts w:ascii="Theinhardt Regular Italic" w:hAnsi="Theinhardt Regular Italic" w:cs="Theinhardt Regular Italic" w:eastAsia="Theinhardt Regular Italic"/>
          <w:i/>
          <w:sz w:val="23"/>
          <w:szCs w:val="23"/>
        </w:rPr>
      </w:pPr>
      <w:r>
        <w:rPr/>
        <w:br w:type="column"/>
      </w:r>
      <w:r>
        <w:rPr>
          <w:rFonts w:ascii="Theinhardt Regular Italic"/>
          <w:i/>
          <w:sz w:val="23"/>
        </w:rPr>
      </w:r>
    </w:p>
    <w:p>
      <w:pPr>
        <w:spacing w:line="20" w:lineRule="atLeast"/>
        <w:ind w:left="106" w:right="0" w:firstLine="0"/>
        <w:rPr>
          <w:rFonts w:ascii="Theinhardt Regular Italic" w:hAnsi="Theinhardt Regular Italic" w:cs="Theinhardt Regular Italic" w:eastAsia="Theinhardt Regular Italic"/>
          <w:sz w:val="2"/>
          <w:szCs w:val="2"/>
        </w:rPr>
      </w:pPr>
      <w:r>
        <w:rPr>
          <w:rFonts w:ascii="Theinhardt Regular Italic" w:hAnsi="Theinhardt Regular Italic" w:cs="Theinhardt Regular Italic" w:eastAsia="Theinhardt Regular Italic"/>
          <w:sz w:val="2"/>
          <w:szCs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 Italic" w:hAnsi="Theinhardt Regular Italic" w:cs="Theinhardt Regular Italic" w:eastAsia="Theinhardt Regular Italic"/>
          <w:sz w:val="2"/>
          <w:szCs w:val="2"/>
        </w:rPr>
      </w: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14"/>
          <w:szCs w:val="14"/>
        </w:rPr>
      </w:pPr>
    </w:p>
    <w:p>
      <w:pPr>
        <w:spacing w:line="240" w:lineRule="auto" w:before="2"/>
        <w:rPr>
          <w:rFonts w:ascii="Theinhardt Regular Italic" w:hAnsi="Theinhardt Regular Italic" w:cs="Theinhardt Regular Italic" w:eastAsia="Theinhardt Regular Italic"/>
          <w:i/>
          <w:sz w:val="12"/>
          <w:szCs w:val="12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/>
        <w:pict>
          <v:shape style="position:absolute;margin-left:382.76181pt;margin-top:-99.070923pt;width:161.550pt;height:98.45pt;mso-position-horizontal-relative:page;mso-position-vertical-relative:paragraph;z-index:1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9"/>
                    <w:gridCol w:w="753"/>
                    <w:gridCol w:w="460"/>
                    <w:gridCol w:w="629"/>
                  </w:tblGrid>
                  <w:tr>
                    <w:trPr>
                      <w:trHeight w:val="288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8"/>
                            <w:szCs w:val="8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EBF: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180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Warmwasser: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79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kWh/m</w:t>
                        </w:r>
                        <w:r>
                          <w:rPr>
                            <w:rFonts w:ascii="Theinhardt Regular"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44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3.3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70" w:right="0" w:hanging="46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270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17" w:right="0" w:hanging="147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317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6</w:t>
                        </w:r>
                        <w:r>
                          <w:rPr>
                            <w:rFonts w:ascii="Theinhardt Regular"/>
                            <w:color w:val="231F20"/>
                            <w:spacing w:val="4"/>
                            <w:sz w:val="14"/>
                          </w:rPr>
                          <w:t>0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Heizung: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28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155.5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89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87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1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pacing w:val="1"/>
                            <w:sz w:val="14"/>
                            <w:szCs w:val="14"/>
                          </w:rPr>
                          <w:t>28’000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Elektrizität:</w:t>
                        </w:r>
                        <w:r>
                          <w:rPr>
                            <w:rFonts w:ascii="Theinhardt Regular" w:hAns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359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20.0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200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7"/>
                            <w:sz w:val="14"/>
                          </w:rPr>
                          <w:t>11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98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’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pacing w:val="2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Gesamt-EB: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270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178.8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/>
                          <w:ind w:left="106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32’200</w:t>
                        </w:r>
                        <w:r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323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 w:before="44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Energiebedarf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nach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Sanierung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[20%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 |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100%]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8"/>
                            <w:szCs w:val="8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EBF: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195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sz w:val="8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79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kWh/m</w:t>
                        </w:r>
                        <w:r>
                          <w:rPr>
                            <w:rFonts w:ascii="Theinhardt Regular"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22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170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Warmwasser: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44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2.9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271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9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328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561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Heizung: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45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5.7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98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17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234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pacing w:val="-6"/>
                            <w:sz w:val="14"/>
                            <w:szCs w:val="14"/>
                          </w:rPr>
                          <w:t>1’118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Elektrizität:</w:t>
                        </w:r>
                        <w:r>
                          <w:rPr>
                            <w:rFonts w:ascii="Theinhardt Regular" w:hAns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372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24.7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9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74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218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 w:cs="Theinhardt Regular" w:eastAsia="Theinhardt Regular"/>
                            <w:color w:val="231F20"/>
                            <w:spacing w:val="-3"/>
                            <w:sz w:val="14"/>
                            <w:szCs w:val="14"/>
                          </w:rPr>
                          <w:t>4’815</w:t>
                        </w:r>
                        <w:r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Gesamt-EB: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348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33.3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06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99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6’494</w:t>
                        </w:r>
                        <w:r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13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 w:before="6"/>
                          <w:ind w:left="55" w:right="0"/>
                          <w:jc w:val="left"/>
                          <w:rPr>
                            <w:rFonts w:ascii="Theinhardt Bold" w:hAnsi="Theinhardt Bold" w:cs="Theinhardt Bold" w:eastAsia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Energieversorgung</w:t>
                        </w:r>
                        <w:r>
                          <w:rPr>
                            <w:rFonts w:ascii="Theinhardt Bold"/>
                            <w:sz w:val="14"/>
                          </w:rPr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heinhardt Regular"/>
          <w:color w:val="231F20"/>
          <w:spacing w:val="1"/>
          <w:sz w:val="14"/>
        </w:rPr>
        <w:t>Eigen-EV: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3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23"/>
          <w:szCs w:val="23"/>
        </w:rPr>
      </w:pPr>
      <w:r>
        <w:rPr/>
        <w:br w:type="column"/>
      </w:r>
      <w:r>
        <w:rPr>
          <w:rFonts w:ascii="Theinhardt Regular"/>
          <w:sz w:val="23"/>
        </w:rPr>
      </w:r>
    </w:p>
    <w:p>
      <w:pPr>
        <w:spacing w:line="20" w:lineRule="atLeast"/>
        <w:ind w:left="2412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12"/>
          <w:szCs w:val="12"/>
        </w:rPr>
      </w:pPr>
    </w:p>
    <w:p>
      <w:pPr>
        <w:tabs>
          <w:tab w:pos="1387" w:val="left" w:leader="none"/>
          <w:tab w:pos="1793" w:val="left" w:leader="none"/>
        </w:tabs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kWp </w:t>
      </w:r>
      <w:r>
        <w:rPr>
          <w:rFonts w:ascii="Theinhardt Regular"/>
          <w:color w:val="231F20"/>
          <w:spacing w:val="37"/>
          <w:sz w:val="14"/>
        </w:rPr>
        <w:t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4" w:equalWidth="0">
            <w:col w:w="3452" w:space="119"/>
            <w:col w:w="3453" w:space="119"/>
            <w:col w:w="987" w:space="43"/>
            <w:col w:w="2537"/>
          </w:cols>
        </w:sectPr>
      </w:pPr>
    </w:p>
    <w:p>
      <w:pPr>
        <w:pStyle w:val="Heading1"/>
        <w:spacing w:line="228" w:lineRule="exact"/>
        <w:ind w:right="0" w:firstLine="0"/>
        <w:jc w:val="left"/>
      </w:pPr>
      <w:r>
        <w:rPr>
          <w:color w:val="231F20"/>
        </w:rPr>
        <w:t>Gesamteindruck bewahrt.</w:t>
      </w:r>
      <w:r>
        <w:rPr/>
      </w:r>
    </w:p>
    <w:p>
      <w:pPr>
        <w:spacing w:line="232" w:lineRule="auto" w:before="1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Dank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guter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Wärmedämmung,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dreifach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verglasten</w:t>
      </w:r>
      <w:r>
        <w:rPr>
          <w:rFonts w:ascii="Theinhardt Regular" w:hAnsi="Theinhardt Regular" w:cs="Theinhardt Regular" w:eastAsia="Theinhardt Regular"/>
          <w:color w:val="231F20"/>
          <w:spacing w:val="4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Fenstern,</w:t>
      </w:r>
      <w:r>
        <w:rPr>
          <w:rFonts w:ascii="Theinhardt Regular" w:hAnsi="Theinhardt Regular" w:cs="Theinhardt Regular" w:eastAsia="Theinhardt Regular"/>
          <w:color w:val="231F20"/>
          <w:spacing w:val="4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A+++</w:t>
      </w:r>
      <w:r>
        <w:rPr>
          <w:rFonts w:ascii="Theinhardt Regular" w:hAnsi="Theinhardt Regular" w:cs="Theinhardt Regular" w:eastAsia="Theinhardt Regular"/>
          <w:color w:val="231F20"/>
          <w:spacing w:val="4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Haushaltsge-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räten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fast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90%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LED-Lampen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konnte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der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Gesamtenergiebedarf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um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80%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ge-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senkt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werden.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Heute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beträgt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noch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6’490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kWh/a.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nach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Ost-West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ausgerichtete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PV-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Anlage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erzeugt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jährlich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rund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15’200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kWh.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Dadurch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wandelt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sich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frühere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Energie-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schleuder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zum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PlusEnergieBau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einem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Solarstromüberschuss von 8’660 kWh/a.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vorbildliche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Sanierung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Büroge-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bäudes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verdient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Schweizer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2017.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2" w:lineRule="auto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L’isolation</w:t>
      </w:r>
      <w:r>
        <w:rPr>
          <w:color w:val="231F20"/>
          <w:spacing w:val="38"/>
        </w:rPr>
        <w:t> </w:t>
      </w:r>
      <w:r>
        <w:rPr>
          <w:color w:val="231F20"/>
        </w:rPr>
        <w:t>thermique</w:t>
      </w:r>
      <w:r>
        <w:rPr>
          <w:color w:val="231F20"/>
          <w:spacing w:val="39"/>
        </w:rPr>
        <w:t> </w:t>
      </w:r>
      <w:r>
        <w:rPr>
          <w:color w:val="231F20"/>
        </w:rPr>
        <w:t>optimale,</w:t>
      </w:r>
      <w:r>
        <w:rPr>
          <w:color w:val="231F20"/>
          <w:spacing w:val="38"/>
        </w:rPr>
        <w:t> </w:t>
      </w:r>
      <w:r>
        <w:rPr>
          <w:color w:val="231F20"/>
        </w:rPr>
        <w:t>le</w:t>
      </w:r>
      <w:r>
        <w:rPr>
          <w:color w:val="231F20"/>
          <w:spacing w:val="39"/>
        </w:rPr>
        <w:t> </w:t>
      </w:r>
      <w:r>
        <w:rPr>
          <w:color w:val="231F20"/>
        </w:rPr>
        <w:t>triple</w:t>
      </w:r>
      <w:r>
        <w:rPr>
          <w:color w:val="231F20"/>
        </w:rPr>
        <w:t> vitrage,</w:t>
      </w:r>
      <w:r>
        <w:rPr>
          <w:color w:val="231F20"/>
          <w:spacing w:val="15"/>
        </w:rPr>
        <w:t> </w:t>
      </w:r>
      <w:r>
        <w:rPr>
          <w:color w:val="231F20"/>
        </w:rPr>
        <w:t>l’électroménager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classe</w:t>
      </w:r>
      <w:r>
        <w:rPr>
          <w:color w:val="231F20"/>
          <w:spacing w:val="15"/>
        </w:rPr>
        <w:t> </w:t>
      </w:r>
      <w:r>
        <w:rPr>
          <w:color w:val="231F20"/>
        </w:rPr>
        <w:t>énergé-</w:t>
      </w:r>
      <w:r>
        <w:rPr>
          <w:color w:val="231F20"/>
        </w:rPr>
        <w:t> tique</w:t>
      </w:r>
      <w:r>
        <w:rPr>
          <w:color w:val="231F20"/>
          <w:spacing w:val="22"/>
        </w:rPr>
        <w:t> </w:t>
      </w:r>
      <w:r>
        <w:rPr>
          <w:color w:val="231F20"/>
        </w:rPr>
        <w:t>A+++</w:t>
      </w:r>
      <w:r>
        <w:rPr>
          <w:color w:val="231F20"/>
          <w:spacing w:val="22"/>
        </w:rPr>
        <w:t> </w:t>
      </w:r>
      <w:r>
        <w:rPr>
          <w:color w:val="231F20"/>
        </w:rPr>
        <w:t>ainsi</w:t>
      </w:r>
      <w:r>
        <w:rPr>
          <w:color w:val="231F20"/>
          <w:spacing w:val="22"/>
        </w:rPr>
        <w:t> </w:t>
      </w:r>
      <w:r>
        <w:rPr>
          <w:color w:val="231F20"/>
        </w:rPr>
        <w:t>que</w:t>
      </w:r>
      <w:r>
        <w:rPr>
          <w:color w:val="231F20"/>
          <w:spacing w:val="22"/>
        </w:rPr>
        <w:t> </w:t>
      </w:r>
      <w:r>
        <w:rPr>
          <w:color w:val="231F20"/>
        </w:rPr>
        <w:t>l’éclairage</w:t>
      </w:r>
      <w:r>
        <w:rPr>
          <w:color w:val="231F20"/>
          <w:spacing w:val="22"/>
        </w:rPr>
        <w:t> </w:t>
      </w:r>
      <w:r>
        <w:rPr>
          <w:color w:val="231F20"/>
        </w:rPr>
        <w:t>constitué</w:t>
      </w:r>
      <w:r>
        <w:rPr>
          <w:color w:val="231F20"/>
        </w:rPr>
        <w:t> à</w:t>
      </w:r>
      <w:r>
        <w:rPr>
          <w:color w:val="231F20"/>
          <w:spacing w:val="1"/>
        </w:rPr>
        <w:t> </w:t>
      </w:r>
      <w:r>
        <w:rPr>
          <w:color w:val="231F20"/>
        </w:rPr>
        <w:t>presque</w:t>
      </w:r>
      <w:r>
        <w:rPr>
          <w:color w:val="231F20"/>
          <w:spacing w:val="1"/>
        </w:rPr>
        <w:t> </w:t>
      </w:r>
      <w:r>
        <w:rPr>
          <w:color w:val="231F20"/>
        </w:rPr>
        <w:t>90%</w:t>
      </w:r>
      <w:r>
        <w:rPr>
          <w:color w:val="231F20"/>
          <w:spacing w:val="1"/>
        </w:rPr>
        <w:t> </w:t>
      </w:r>
      <w:r>
        <w:rPr>
          <w:color w:val="231F20"/>
        </w:rPr>
        <w:t>d’ampoules</w:t>
      </w:r>
      <w:r>
        <w:rPr>
          <w:color w:val="231F20"/>
          <w:spacing w:val="1"/>
        </w:rPr>
        <w:t> </w:t>
      </w:r>
      <w:r>
        <w:rPr>
          <w:color w:val="231F20"/>
        </w:rPr>
        <w:t>LED</w:t>
      </w:r>
      <w:r>
        <w:rPr>
          <w:color w:val="231F20"/>
          <w:spacing w:val="1"/>
        </w:rPr>
        <w:t> </w:t>
      </w:r>
      <w:r>
        <w:rPr>
          <w:color w:val="231F20"/>
        </w:rPr>
        <w:t>ont</w:t>
      </w:r>
      <w:r>
        <w:rPr>
          <w:color w:val="231F20"/>
          <w:spacing w:val="1"/>
        </w:rPr>
        <w:t> </w:t>
      </w:r>
      <w:r>
        <w:rPr>
          <w:color w:val="231F20"/>
        </w:rPr>
        <w:t>permis</w:t>
      </w:r>
      <w:r>
        <w:rPr>
          <w:color w:val="231F20"/>
        </w:rPr>
        <w:t> de</w:t>
      </w:r>
      <w:r>
        <w:rPr>
          <w:color w:val="231F20"/>
          <w:spacing w:val="-16"/>
        </w:rPr>
        <w:t> </w:t>
      </w:r>
      <w:r>
        <w:rPr>
          <w:color w:val="231F20"/>
        </w:rPr>
        <w:t>réduire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80%</w:t>
      </w:r>
      <w:r>
        <w:rPr>
          <w:color w:val="231F20"/>
          <w:spacing w:val="-16"/>
        </w:rPr>
        <w:t> </w:t>
      </w:r>
      <w:r>
        <w:rPr>
          <w:color w:val="231F20"/>
        </w:rPr>
        <w:t>les</w:t>
      </w:r>
      <w:r>
        <w:rPr>
          <w:color w:val="231F20"/>
          <w:spacing w:val="-16"/>
        </w:rPr>
        <w:t> </w:t>
      </w:r>
      <w:r>
        <w:rPr>
          <w:color w:val="231F20"/>
        </w:rPr>
        <w:t>besoins</w:t>
      </w:r>
      <w:r>
        <w:rPr>
          <w:color w:val="231F20"/>
          <w:spacing w:val="-16"/>
        </w:rPr>
        <w:t> </w:t>
      </w:r>
      <w:r>
        <w:rPr>
          <w:color w:val="231F20"/>
        </w:rPr>
        <w:t>énergétiques.</w:t>
      </w:r>
      <w:r>
        <w:rPr>
          <w:color w:val="231F20"/>
        </w:rPr>
        <w:t> Le</w:t>
      </w:r>
      <w:r>
        <w:rPr>
          <w:color w:val="231F20"/>
          <w:spacing w:val="-12"/>
        </w:rPr>
        <w:t> </w:t>
      </w:r>
      <w:r>
        <w:rPr>
          <w:color w:val="231F20"/>
        </w:rPr>
        <w:t>BEP</w:t>
      </w:r>
      <w:r>
        <w:rPr>
          <w:color w:val="231F20"/>
          <w:spacing w:val="-12"/>
        </w:rPr>
        <w:t> </w:t>
      </w:r>
      <w:r>
        <w:rPr>
          <w:color w:val="231F20"/>
        </w:rPr>
        <w:t>ne</w:t>
      </w:r>
      <w:r>
        <w:rPr>
          <w:color w:val="231F20"/>
          <w:spacing w:val="-12"/>
        </w:rPr>
        <w:t> </w:t>
      </w:r>
      <w:r>
        <w:rPr>
          <w:color w:val="231F20"/>
        </w:rPr>
        <w:t>consomme</w:t>
      </w:r>
      <w:r>
        <w:rPr>
          <w:color w:val="231F20"/>
          <w:spacing w:val="-12"/>
        </w:rPr>
        <w:t> </w:t>
      </w:r>
      <w:r>
        <w:rPr>
          <w:color w:val="231F20"/>
        </w:rPr>
        <w:t>actuellement</w:t>
      </w:r>
      <w:r>
        <w:rPr>
          <w:color w:val="231F20"/>
          <w:spacing w:val="-12"/>
        </w:rPr>
        <w:t> </w:t>
      </w:r>
      <w:r>
        <w:rPr>
          <w:color w:val="231F20"/>
        </w:rPr>
        <w:t>plus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</w:rPr>
        <w:t> 6’490 kWh/a.</w:t>
      </w:r>
      <w:r>
        <w:rPr>
          <w:i w:val="0"/>
        </w:rPr>
      </w:r>
    </w:p>
    <w:p>
      <w:pPr>
        <w:pStyle w:val="BodyText"/>
        <w:spacing w:line="232" w:lineRule="auto"/>
        <w:ind w:right="0"/>
        <w:jc w:val="both"/>
        <w:rPr>
          <w:i w:val="0"/>
        </w:rPr>
      </w:pPr>
      <w:r>
        <w:rPr>
          <w:color w:val="231F20"/>
        </w:rPr>
        <w:t>L’installation</w:t>
      </w:r>
      <w:r>
        <w:rPr>
          <w:color w:val="231F20"/>
          <w:spacing w:val="28"/>
        </w:rPr>
        <w:t> </w:t>
      </w:r>
      <w:r>
        <w:rPr>
          <w:color w:val="231F20"/>
        </w:rPr>
        <w:t>PV</w:t>
      </w:r>
      <w:r>
        <w:rPr>
          <w:color w:val="231F20"/>
          <w:spacing w:val="29"/>
        </w:rPr>
        <w:t> </w:t>
      </w:r>
      <w:r>
        <w:rPr>
          <w:color w:val="231F20"/>
        </w:rPr>
        <w:t>orientée</w:t>
      </w:r>
      <w:r>
        <w:rPr>
          <w:color w:val="231F20"/>
          <w:spacing w:val="28"/>
        </w:rPr>
        <w:t> </w:t>
      </w:r>
      <w:r>
        <w:rPr>
          <w:color w:val="231F20"/>
        </w:rPr>
        <w:t>est-ouest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pro-</w:t>
      </w:r>
      <w:r>
        <w:rPr>
          <w:color w:val="231F20"/>
          <w:spacing w:val="23"/>
        </w:rPr>
        <w:t> </w:t>
      </w:r>
      <w:r>
        <w:rPr>
          <w:color w:val="231F20"/>
        </w:rPr>
        <w:t>duit</w:t>
      </w:r>
      <w:r>
        <w:rPr>
          <w:color w:val="231F20"/>
          <w:spacing w:val="16"/>
        </w:rPr>
        <w:t> </w:t>
      </w:r>
      <w:r>
        <w:rPr>
          <w:color w:val="231F20"/>
        </w:rPr>
        <w:t>15’200</w:t>
      </w:r>
      <w:r>
        <w:rPr>
          <w:color w:val="231F20"/>
          <w:spacing w:val="16"/>
        </w:rPr>
        <w:t> </w:t>
      </w:r>
      <w:r>
        <w:rPr>
          <w:color w:val="231F20"/>
        </w:rPr>
        <w:t>kWh/a.</w:t>
      </w:r>
      <w:r>
        <w:rPr>
          <w:color w:val="231F20"/>
          <w:spacing w:val="16"/>
        </w:rPr>
        <w:t> </w:t>
      </w:r>
      <w:r>
        <w:rPr>
          <w:color w:val="231F20"/>
        </w:rPr>
        <w:t>Gouffre</w:t>
      </w:r>
      <w:r>
        <w:rPr>
          <w:color w:val="231F20"/>
          <w:spacing w:val="16"/>
        </w:rPr>
        <w:t> </w:t>
      </w:r>
      <w:r>
        <w:rPr>
          <w:color w:val="231F20"/>
        </w:rPr>
        <w:t>énergétique</w:t>
      </w:r>
      <w:r>
        <w:rPr>
          <w:color w:val="231F20"/>
        </w:rPr>
        <w:t> avant</w:t>
      </w:r>
      <w:r>
        <w:rPr>
          <w:color w:val="231F20"/>
          <w:spacing w:val="10"/>
        </w:rPr>
        <w:t> </w:t>
      </w:r>
      <w:r>
        <w:rPr>
          <w:color w:val="231F20"/>
        </w:rPr>
        <w:t>rénovation,</w:t>
      </w:r>
      <w:r>
        <w:rPr>
          <w:color w:val="231F20"/>
          <w:spacing w:val="10"/>
        </w:rPr>
        <w:t> </w:t>
      </w:r>
      <w:r>
        <w:rPr>
          <w:color w:val="231F20"/>
        </w:rPr>
        <w:t>le</w:t>
      </w:r>
      <w:r>
        <w:rPr>
          <w:color w:val="231F20"/>
          <w:spacing w:val="10"/>
        </w:rPr>
        <w:t> </w:t>
      </w:r>
      <w:r>
        <w:rPr>
          <w:color w:val="231F20"/>
        </w:rPr>
        <w:t>Bâtiment</w:t>
      </w:r>
      <w:r>
        <w:rPr>
          <w:color w:val="231F20"/>
          <w:spacing w:val="10"/>
        </w:rPr>
        <w:t> </w:t>
      </w:r>
      <w:r>
        <w:rPr>
          <w:color w:val="231F20"/>
        </w:rPr>
        <w:t>à</w:t>
      </w:r>
      <w:r>
        <w:rPr>
          <w:color w:val="231F20"/>
          <w:spacing w:val="10"/>
        </w:rPr>
        <w:t> </w:t>
      </w:r>
      <w:r>
        <w:rPr>
          <w:color w:val="231F20"/>
        </w:rPr>
        <w:t>Énergie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Po-</w:t>
      </w:r>
      <w:r>
        <w:rPr>
          <w:color w:val="231F20"/>
          <w:spacing w:val="25"/>
        </w:rPr>
        <w:t> </w:t>
      </w:r>
      <w:r>
        <w:rPr>
          <w:color w:val="231F20"/>
        </w:rPr>
        <w:t>sitive</w:t>
      </w:r>
      <w:r>
        <w:rPr>
          <w:color w:val="231F20"/>
          <w:spacing w:val="-10"/>
        </w:rPr>
        <w:t> </w:t>
      </w:r>
      <w:r>
        <w:rPr>
          <w:color w:val="231F20"/>
        </w:rPr>
        <w:t>génère</w:t>
      </w:r>
      <w:r>
        <w:rPr>
          <w:color w:val="231F20"/>
          <w:spacing w:val="-10"/>
        </w:rPr>
        <w:t> </w:t>
      </w:r>
      <w:r>
        <w:rPr>
          <w:color w:val="231F20"/>
        </w:rPr>
        <w:t>désormais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excédent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cou-</w:t>
      </w:r>
      <w:r>
        <w:rPr>
          <w:color w:val="231F20"/>
        </w:rPr>
        <w:t> rant solaire de 8’660 kWh/a.</w:t>
      </w:r>
      <w:r>
        <w:rPr>
          <w:i w:val="0"/>
        </w:rPr>
      </w:r>
    </w:p>
    <w:p>
      <w:pPr>
        <w:pStyle w:val="BodyText"/>
        <w:spacing w:line="232" w:lineRule="auto"/>
        <w:ind w:right="0"/>
        <w:jc w:val="both"/>
        <w:rPr>
          <w:i w:val="0"/>
        </w:rPr>
      </w:pPr>
      <w:r>
        <w:rPr>
          <w:color w:val="231F20"/>
        </w:rPr>
        <w:t>Pour</w:t>
      </w:r>
      <w:r>
        <w:rPr>
          <w:color w:val="231F20"/>
          <w:spacing w:val="8"/>
        </w:rPr>
        <w:t> </w:t>
      </w:r>
      <w:r>
        <w:rPr>
          <w:color w:val="231F20"/>
        </w:rPr>
        <w:t>son</w:t>
      </w:r>
      <w:r>
        <w:rPr>
          <w:color w:val="231F20"/>
          <w:spacing w:val="8"/>
        </w:rPr>
        <w:t> </w:t>
      </w:r>
      <w:r>
        <w:rPr>
          <w:color w:val="231F20"/>
        </w:rPr>
        <w:t>assainissement</w:t>
      </w:r>
      <w:r>
        <w:rPr>
          <w:color w:val="231F20"/>
          <w:spacing w:val="8"/>
        </w:rPr>
        <w:t> </w:t>
      </w:r>
      <w:r>
        <w:rPr>
          <w:color w:val="231F20"/>
        </w:rPr>
        <w:t>exemplaire,</w:t>
      </w:r>
      <w:r>
        <w:rPr>
          <w:color w:val="231F20"/>
        </w:rPr>
        <w:t> l’immeuble</w:t>
      </w:r>
      <w:r>
        <w:rPr>
          <w:color w:val="231F20"/>
          <w:spacing w:val="-8"/>
        </w:rPr>
        <w:t> </w:t>
      </w:r>
      <w:r>
        <w:rPr>
          <w:color w:val="231F20"/>
        </w:rPr>
        <w:t>administratif</w:t>
      </w:r>
      <w:r>
        <w:rPr>
          <w:color w:val="231F20"/>
          <w:spacing w:val="-8"/>
        </w:rPr>
        <w:t> </w:t>
      </w:r>
      <w:r>
        <w:rPr>
          <w:color w:val="231F20"/>
        </w:rPr>
        <w:t>reçoit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Prix</w:t>
      </w:r>
      <w:r>
        <w:rPr>
          <w:color w:val="231F20"/>
          <w:spacing w:val="-8"/>
        </w:rPr>
        <w:t> </w:t>
      </w:r>
      <w:r>
        <w:rPr>
          <w:color w:val="231F20"/>
        </w:rPr>
        <w:t>Solaire</w:t>
      </w:r>
      <w:r>
        <w:rPr>
          <w:color w:val="231F20"/>
        </w:rPr>
        <w:t> Suisse 2017.</w:t>
      </w:r>
      <w:r>
        <w:rPr>
          <w:i w:val="0"/>
        </w:rPr>
      </w:r>
    </w:p>
    <w:p>
      <w:pPr>
        <w:tabs>
          <w:tab w:pos="1746" w:val="left" w:leader="none"/>
          <w:tab w:pos="2294" w:val="left" w:leader="none"/>
          <w:tab w:pos="2784" w:val="left" w:leader="none"/>
        </w:tabs>
        <w:spacing w:line="56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4"/>
          <w:szCs w:val="14"/>
        </w:rPr>
        <w:t>110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18.5</w:t>
        <w:tab/>
      </w:r>
      <w:r>
        <w:rPr>
          <w:rFonts w:ascii="Theinhardt Regular" w:hAnsi="Theinhardt Regular" w:cs="Theinhardt Regular" w:eastAsia="Theinhardt Regular"/>
          <w:color w:val="231F20"/>
          <w:spacing w:val="-6"/>
          <w:sz w:val="14"/>
          <w:szCs w:val="14"/>
        </w:rPr>
        <w:t>137.7</w:t>
        <w:tab/>
      </w: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233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15’151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8" w:val="left" w:leader="none"/>
          <w:tab w:pos="2824" w:val="left" w:leader="none"/>
        </w:tabs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294" w:val="left" w:leader="none"/>
          <w:tab w:pos="2784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233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15’151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9" w:val="left" w:leader="none"/>
          <w:tab w:pos="2866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6’494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00" w:val="left" w:leader="none"/>
          <w:tab w:pos="284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133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8’657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55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NetZulg</w:t>
      </w:r>
      <w:r>
        <w:rPr>
          <w:rFonts w:ascii="Theinhardt Bold" w:hAnsi="Theinhardt Bold"/>
          <w:b/>
          <w:color w:val="231F20"/>
          <w:sz w:val="14"/>
        </w:rPr>
        <w:t> AG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1"/>
          <w:sz w:val="14"/>
        </w:rPr>
        <w:t>29.06.2017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T.</w:t>
      </w:r>
      <w:r>
        <w:rPr>
          <w:rFonts w:ascii="Theinhardt Regular" w:hAnsi="Theinhardt Regular"/>
          <w:color w:val="231F20"/>
          <w:sz w:val="14"/>
        </w:rPr>
        <w:t> Gander,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033</w:t>
      </w:r>
      <w:r>
        <w:rPr>
          <w:rFonts w:ascii="Theinhardt Regular" w:hAnsi="Theinhardt Regular"/>
          <w:color w:val="231F20"/>
          <w:sz w:val="14"/>
        </w:rPr>
        <w:t> 439 </w:t>
      </w:r>
      <w:r>
        <w:rPr>
          <w:rFonts w:ascii="Theinhardt Regular" w:hAnsi="Theinhardt Regular"/>
          <w:color w:val="231F20"/>
          <w:spacing w:val="-2"/>
          <w:sz w:val="14"/>
        </w:rPr>
        <w:t>42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42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06" w:right="6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pacing w:val="4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architektur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atelier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adrian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christen</w:t>
      </w:r>
      <w:r>
        <w:rPr>
          <w:rFonts w:ascii="Theinhardt Regular" w:hAnsi="Theinhardt Regular"/>
          <w:color w:val="231F20"/>
          <w:spacing w:val="27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Alleestrasse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9,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3613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Steffi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burg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27</w:t>
      </w:r>
      <w:hyperlink r:id="rId6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info@architektur-aac.ch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06" w:right="140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Realisation</w:t>
      </w:r>
      <w:r>
        <w:rPr>
          <w:rFonts w:ascii="Theinhardt Bold"/>
          <w:b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aaac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Adrian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Christen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Alleestrasse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3613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Steffi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burg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27</w:t>
      </w:r>
      <w:hyperlink r:id="rId7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www.architektur-aac.ch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06" w:right="143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b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Holzimpuls,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Marcel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Ruchti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Mittlere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74,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3600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Thun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223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25</w:t>
      </w:r>
      <w:r>
        <w:rPr>
          <w:rFonts w:ascii="Theinhardt Regular"/>
          <w:color w:val="231F20"/>
          <w:sz w:val="14"/>
        </w:rPr>
        <w:t> 50</w:t>
      </w:r>
      <w:hyperlink r:id="rId8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www.holzimpuls.ch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Installateur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Elektroanlagen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Johner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Elektro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Burgfeldweg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13,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3612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Steffi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burg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222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</w:t>
      </w:r>
      <w:r>
        <w:rPr>
          <w:rFonts w:ascii="Theinhardt Regular"/>
          <w:color w:val="231F20"/>
          <w:sz w:val="14"/>
        </w:rPr>
        <w:t> 28</w:t>
      </w:r>
      <w:hyperlink r:id="rId9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www.johner-elektro.ch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2" w:space="119"/>
            <w:col w:w="3567"/>
          </w:cols>
        </w:sectPr>
      </w:pP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29"/>
          <w:szCs w:val="29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488194" cy="470001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194" cy="470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240" w:lineRule="auto" w:before="12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6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3682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1"/>
          <w:sz w:val="20"/>
        </w:rPr>
        <w:drawing>
          <wp:inline distT="0" distB="0" distL="0" distR="0">
            <wp:extent cx="2123404" cy="1536191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0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"/>
          <w:sz w:val="20"/>
        </w:rPr>
      </w:r>
      <w:r>
        <w:rPr>
          <w:rFonts w:ascii="Theinhardt Bold"/>
          <w:position w:val="1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4395964" cy="2843784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964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3681" w:val="left" w:leader="none"/>
        </w:tabs>
        <w:spacing w:before="13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3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6"/>
          <w:szCs w:val="26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</w:t>
      </w:r>
      <w:r>
        <w:rPr>
          <w:rFonts w:ascii="Theinhardt Bold" w:hAnsi="Theinhardt Bold"/>
          <w:b/>
          <w:color w:val="231F20"/>
          <w:spacing w:val="-1"/>
          <w:sz w:val="14"/>
        </w:rPr>
        <w:t>Eichenschalung</w:t>
      </w:r>
      <w:r>
        <w:rPr>
          <w:rFonts w:ascii="Theinhardt Bold" w:hAnsi="Theinhardt Bold"/>
          <w:b/>
          <w:color w:val="231F20"/>
          <w:sz w:val="14"/>
        </w:rPr>
        <w:t> des Gebäudes aus </w:t>
      </w:r>
      <w:r>
        <w:rPr>
          <w:rFonts w:ascii="Theinhardt Bold" w:hAnsi="Theinhardt Bold"/>
          <w:b/>
          <w:color w:val="231F20"/>
          <w:spacing w:val="-1"/>
          <w:sz w:val="14"/>
        </w:rPr>
        <w:t>Schwei-</w:t>
      </w:r>
      <w:r>
        <w:rPr>
          <w:rFonts w:ascii="Theinhardt Bold" w:hAnsi="Theinhardt Bold"/>
          <w:b/>
          <w:color w:val="231F20"/>
          <w:spacing w:val="38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zer</w:t>
      </w:r>
      <w:r>
        <w:rPr>
          <w:rFonts w:ascii="Theinhardt Bold" w:hAnsi="Theinhardt Bold"/>
          <w:b/>
          <w:color w:val="231F20"/>
          <w:sz w:val="14"/>
        </w:rPr>
        <w:t> Holz </w:t>
      </w:r>
      <w:r>
        <w:rPr>
          <w:rFonts w:ascii="Theinhardt Bold" w:hAnsi="Theinhardt Bold"/>
          <w:b/>
          <w:color w:val="231F20"/>
          <w:spacing w:val="-1"/>
          <w:sz w:val="14"/>
        </w:rPr>
        <w:t>wurde</w:t>
      </w:r>
      <w:r>
        <w:rPr>
          <w:rFonts w:ascii="Theinhardt Bold" w:hAnsi="Theinhardt Bold"/>
          <w:b/>
          <w:color w:val="231F20"/>
          <w:sz w:val="14"/>
        </w:rPr>
        <w:t> mit Eisenpulver behandelt.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Dadurch </w:t>
      </w:r>
      <w:r>
        <w:rPr>
          <w:rFonts w:ascii="Theinhardt Bold" w:hAnsi="Theinhardt Bold"/>
          <w:b/>
          <w:color w:val="231F20"/>
          <w:spacing w:val="-1"/>
          <w:sz w:val="14"/>
        </w:rPr>
        <w:t>entstand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dunkle,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rostige</w:t>
      </w:r>
      <w:r>
        <w:rPr>
          <w:rFonts w:ascii="Theinhardt Bold" w:hAnsi="Theinhardt Bold"/>
          <w:b/>
          <w:color w:val="231F20"/>
          <w:sz w:val="14"/>
        </w:rPr>
        <w:t> Färbung.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Vor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Sanierung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konsumierte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das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Verwal-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tungsgebäude insgesamt 32’200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Energiebedarf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konnte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um 80% auf 6’490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gesenkt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werden.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6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nach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Ost-West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ausgerichtete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rund 15’200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deckt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233% des Gesamtenergiebedarfs und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das Bürogebäude wird zum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PlusEnergieBau.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50" w:space="222"/>
            <w:col w:w="3422" w:space="149"/>
            <w:col w:w="3567"/>
          </w:cols>
        </w:sect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83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4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4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4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4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06" w:firstLine="22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@architektur-aac.ch" TargetMode="External"/><Relationship Id="rId7" Type="http://schemas.openxmlformats.org/officeDocument/2006/relationships/hyperlink" Target="http://www.architektur-aac.ch/" TargetMode="External"/><Relationship Id="rId8" Type="http://schemas.openxmlformats.org/officeDocument/2006/relationships/hyperlink" Target="http://www.holzimpuls.ch/" TargetMode="External"/><Relationship Id="rId9" Type="http://schemas.openxmlformats.org/officeDocument/2006/relationships/hyperlink" Target="http://www.johner-elektro.ch/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2017-09-21T11:49:24Z</dcterms:created>
  <dcterms:modified xsi:type="dcterms:W3CDTF">2017-09-21T11:49:24Z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