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53" w:val="left" w:leader="none"/>
        </w:tabs>
        <w:spacing w:line="230" w:lineRule="exact" w:before="28"/>
        <w:ind w:left="114" w:right="0" w:firstLine="0"/>
        <w:jc w:val="left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shape style="position:absolute;margin-left:28.347pt;margin-top:52.410927pt;width:82.204400pt;height:60.2039pt;mso-position-horizontal-relative:page;mso-position-vertical-relative:paragraph;z-index:1096" type="#_x0000_t75" stroked="false">
            <v:imagedata r:id="rId5" o:title=""/>
          </v:shape>
        </w:pict>
      </w:r>
      <w:r>
        <w:rPr/>
        <w:pict>
          <v:group style="position:absolute;margin-left:28.913401pt;margin-top:13.647326pt;width:.1pt;height:.1pt;mso-position-horizontal-relative:page;mso-position-vertical-relative:paragraph;z-index:-4984" coordorigin="578,273" coordsize="2,2">
            <v:shape style="position:absolute;left:578;top:273;width:2;height:2" coordorigin="578,273" coordsize="0,0" path="m578,273l578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13.647326pt;width:.1pt;height:.1pt;mso-position-horizontal-relative:page;mso-position-vertical-relative:paragraph;z-index:1144" coordorigin="3022,273" coordsize="2,2">
            <v:shape style="position:absolute;left:3022;top:273;width:2;height:2" coordorigin="3022,273" coordsize="0,0" path="m3022,273l3022,27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28.913401pt;margin-top:25.147326pt;width:.1pt;height:.1pt;mso-position-horizontal-relative:page;mso-position-vertical-relative:paragraph;z-index:-4936" coordorigin="578,503" coordsize="2,2">
            <v:shape style="position:absolute;left:578;top:503;width:2;height:2" coordorigin="578,503" coordsize="0,0" path="m578,503l578,50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1.086395pt;margin-top:25.147326pt;width:.1pt;height:.1pt;mso-position-horizontal-relative:page;mso-position-vertical-relative:paragraph;z-index:1192" coordorigin="3022,503" coordsize="2,2">
            <v:shape style="position:absolute;left:3022;top:503;width:2;height:2" coordorigin="3022,503" coordsize="0,0" path="m3022,503l3022,50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/>
          <w:b/>
          <w:color w:val="231F20"/>
          <w:sz w:val="18"/>
          <w:u w:val="dotted" w:color="231F20"/>
        </w:rPr>
        <w:t>B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5"/>
          <w:sz w:val="18"/>
        </w:rPr>
        <w:t> </w:t>
      </w:r>
      <w:r>
        <w:rPr>
          <w:rFonts w:asci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/>
          <w:b/>
          <w:color w:val="231F20"/>
          <w:sz w:val="18"/>
        </w:rPr>
      </w:r>
      <w:r>
        <w:rPr>
          <w:rFonts w:ascii="Theinhardt Black"/>
          <w:b/>
          <w:color w:val="231F20"/>
          <w:spacing w:val="22"/>
          <w:sz w:val="18"/>
        </w:rPr>
        <w:t> </w:t>
      </w:r>
      <w:r>
        <w:rPr>
          <w:rFonts w:ascii="Theinhardt Regular"/>
          <w:color w:val="231F20"/>
          <w:sz w:val="18"/>
        </w:rPr>
        <w:t>Norman </w:t>
      </w:r>
      <w:r>
        <w:rPr>
          <w:rFonts w:ascii="Theinhardt Regular"/>
          <w:color w:val="231F20"/>
          <w:spacing w:val="-1"/>
          <w:sz w:val="18"/>
        </w:rPr>
        <w:t>Foster</w:t>
      </w:r>
      <w:r>
        <w:rPr>
          <w:rFonts w:ascii="Theinhardt Regular"/>
          <w:color w:val="231F20"/>
          <w:sz w:val="18"/>
        </w:rPr>
        <w:t> Solar </w:t>
      </w:r>
      <w:r>
        <w:rPr>
          <w:rFonts w:ascii="Theinhardt Regular"/>
          <w:color w:val="231F20"/>
          <w:spacing w:val="-2"/>
          <w:sz w:val="18"/>
        </w:rPr>
        <w:t>Award-</w:t>
      </w:r>
      <w:r>
        <w:rPr>
          <w:rFonts w:ascii="Theinhardt Regular"/>
          <w:color w:val="231F20"/>
          <w:spacing w:val="22"/>
          <w:sz w:val="18"/>
        </w:rPr>
        <w:t> </w:t>
      </w:r>
      <w:r>
        <w:rPr>
          <w:rFonts w:ascii="Theinhardt Regular"/>
          <w:color w:val="231F20"/>
          <w:spacing w:val="-1"/>
          <w:sz w:val="18"/>
        </w:rPr>
        <w:t>Diplom</w:t>
      </w:r>
      <w:r>
        <w:rPr>
          <w:rFonts w:ascii="Theinhardt Regular"/>
          <w:sz w:val="18"/>
        </w:rPr>
      </w:r>
    </w:p>
    <w:p>
      <w:pPr>
        <w:spacing w:line="230" w:lineRule="exact" w:before="28"/>
        <w:ind w:left="106" w:right="108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0C1C23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im</w:t>
      </w:r>
      <w:r>
        <w:rPr>
          <w:rFonts w:ascii="Theinhardt Bold" w:hAnsi="Theinhardt Bold" w:cs="Theinhardt Bold" w:eastAsia="Theinhardt Bold"/>
          <w:b/>
          <w:bCs/>
          <w:color w:val="0C1C23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Januar</w:t>
      </w:r>
      <w:r>
        <w:rPr>
          <w:rFonts w:ascii="Theinhardt Bold" w:hAnsi="Theinhardt Bold" w:cs="Theinhardt Bold" w:eastAsia="Theinhardt Bold"/>
          <w:b/>
          <w:bCs/>
          <w:color w:val="0C1C23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2018</w:t>
      </w:r>
      <w:r>
        <w:rPr>
          <w:rFonts w:ascii="Theinhardt Bold" w:hAnsi="Theinhardt Bold" w:cs="Theinhardt Bold" w:eastAsia="Theinhardt Bold"/>
          <w:b/>
          <w:bCs/>
          <w:color w:val="0C1C23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fertigerstellte</w:t>
      </w:r>
      <w:r>
        <w:rPr>
          <w:rFonts w:ascii="Theinhardt Bold" w:hAnsi="Theinhardt Bold" w:cs="Theinhardt Bold" w:eastAsia="Theinhardt Bold"/>
          <w:b/>
          <w:bCs/>
          <w:color w:val="0C1C23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Minergie-P</w:t>
      </w:r>
      <w:r>
        <w:rPr>
          <w:rFonts w:ascii="Theinhardt Bold" w:hAnsi="Theinhardt Bold" w:cs="Theinhardt Bold" w:eastAsia="Theinhardt Bold"/>
          <w:b/>
          <w:bCs/>
          <w:color w:val="0C1C23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Mehrfamilienhaus</w:t>
      </w:r>
      <w:r>
        <w:rPr>
          <w:rFonts w:ascii="Theinhardt Bold" w:hAnsi="Theinhardt Bold" w:cs="Theinhardt Bold" w:eastAsia="Theinhardt Bold"/>
          <w:b/>
          <w:bCs/>
          <w:color w:val="0C1C23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(MFH)</w:t>
      </w:r>
      <w:r>
        <w:rPr>
          <w:rFonts w:ascii="Theinhardt Bold" w:hAnsi="Theinhardt Bold" w:cs="Theinhardt Bold" w:eastAsia="Theinhardt Bold"/>
          <w:b/>
          <w:bCs/>
          <w:color w:val="0C1C23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0C1C23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drei</w:t>
      </w:r>
      <w:r>
        <w:rPr>
          <w:rFonts w:ascii="Theinhardt Bold" w:hAnsi="Theinhardt Bold" w:cs="Theinhardt Bold" w:eastAsia="Theinhardt Bold"/>
          <w:b/>
          <w:bCs/>
          <w:color w:val="0C1C23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Wohnungen</w:t>
      </w:r>
      <w:r>
        <w:rPr>
          <w:rFonts w:ascii="Theinhardt Bold" w:hAnsi="Theinhardt Bold" w:cs="Theinhardt Bold" w:eastAsia="Theinhardt Bold"/>
          <w:b/>
          <w:bCs/>
          <w:color w:val="0C1C23"/>
          <w:spacing w:val="5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er-</w:t>
      </w:r>
      <w:r>
        <w:rPr>
          <w:rFonts w:ascii="Theinhardt Bold" w:hAnsi="Theinhardt Bold" w:cs="Theinhardt Bold" w:eastAsia="Theinhardt Bold"/>
          <w:b/>
          <w:bCs/>
          <w:color w:val="0C1C23"/>
          <w:spacing w:val="5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zeugt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ost-west-gerichteten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17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starken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17’300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kWh/a.</w:t>
      </w:r>
      <w:r>
        <w:rPr>
          <w:rFonts w:ascii="Theinhardt Bold" w:hAnsi="Theinhardt Bold" w:cs="Theinhardt Bold" w:eastAsia="Theinhardt Bold"/>
          <w:b/>
          <w:bCs/>
          <w:color w:val="0C1C23"/>
          <w:spacing w:val="-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sehr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guter</w:t>
      </w:r>
      <w:r>
        <w:rPr>
          <w:rFonts w:ascii="Theinhardt Bold" w:hAnsi="Theinhardt Bold" w:cs="Theinhardt Bold" w:eastAsia="Theinhardt Bold"/>
          <w:b/>
          <w:bCs/>
          <w:color w:val="0C1C23"/>
          <w:spacing w:val="5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Wärmedämmung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U-Werten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bis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0.09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W/m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0C1C23"/>
          <w:spacing w:val="-5"/>
          <w:sz w:val="18"/>
          <w:szCs w:val="18"/>
        </w:rPr>
        <w:t>K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 weist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Holz-Neubau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einen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niedrigen Gesamt-</w:t>
      </w:r>
      <w:r>
        <w:rPr>
          <w:rFonts w:ascii="Theinhardt Bold" w:hAnsi="Theinhardt Bold" w:cs="Theinhardt Bold" w:eastAsia="Theinhardt Bold"/>
          <w:b/>
          <w:bCs/>
          <w:color w:val="0C1C23"/>
          <w:spacing w:val="6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energiebedarf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9’900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b/>
          <w:bCs/>
          <w:color w:val="0C1C23"/>
          <w:spacing w:val="-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passive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Solarnutzung,</w:t>
      </w:r>
      <w:r>
        <w:rPr>
          <w:rFonts w:ascii="Theinhardt Bold" w:hAnsi="Theinhardt Bold" w:cs="Theinhardt Bold" w:eastAsia="Theinhardt Bold"/>
          <w:b/>
          <w:bCs/>
          <w:color w:val="0C1C23"/>
          <w:spacing w:val="-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solarbetriebene</w:t>
      </w:r>
      <w:r>
        <w:rPr>
          <w:rFonts w:ascii="Theinhardt Bold" w:hAnsi="Theinhardt Bold" w:cs="Theinhardt Bold" w:eastAsia="Theinhardt Bold"/>
          <w:b/>
          <w:bCs/>
          <w:color w:val="0C1C23"/>
          <w:spacing w:val="-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Wärmepumpe</w:t>
      </w:r>
      <w:r>
        <w:rPr>
          <w:rFonts w:ascii="Theinhardt Bold" w:hAnsi="Theinhardt Bold" w:cs="Theinhardt Bold" w:eastAsia="Theinhardt Bold"/>
          <w:b/>
          <w:bCs/>
          <w:color w:val="0C1C23"/>
          <w:spacing w:val="6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0C1C23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</w:t>
      </w:r>
      <w:r>
        <w:rPr>
          <w:rFonts w:ascii="Theinhardt Bold" w:hAnsi="Theinhardt Bold" w:cs="Theinhardt Bold" w:eastAsia="Theinhardt Bold"/>
          <w:b/>
          <w:bCs/>
          <w:color w:val="0C1C23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kleiner</w:t>
      </w:r>
      <w:r>
        <w:rPr>
          <w:rFonts w:ascii="Theinhardt Bold" w:hAnsi="Theinhardt Bold" w:cs="Theinhardt Bold" w:eastAsia="Theinhardt Bold"/>
          <w:b/>
          <w:bCs/>
          <w:color w:val="0C1C23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Holzofen</w:t>
      </w:r>
      <w:r>
        <w:rPr>
          <w:rFonts w:ascii="Theinhardt Bold" w:hAnsi="Theinhardt Bold" w:cs="Theinhardt Bold" w:eastAsia="Theinhardt Bold"/>
          <w:b/>
          <w:bCs/>
          <w:color w:val="0C1C23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0C1C23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0.5</w:t>
      </w:r>
      <w:r>
        <w:rPr>
          <w:rFonts w:ascii="Theinhardt Bold" w:hAnsi="Theinhardt Bold" w:cs="Theinhardt Bold" w:eastAsia="Theinhardt Bold"/>
          <w:b/>
          <w:bCs/>
          <w:color w:val="0C1C23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Ster</w:t>
      </w:r>
      <w:r>
        <w:rPr>
          <w:rFonts w:ascii="Theinhardt Bold" w:hAnsi="Theinhardt Bold" w:cs="Theinhardt Bold" w:eastAsia="Theinhardt Bold"/>
          <w:b/>
          <w:bCs/>
          <w:color w:val="0C1C23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Holz</w:t>
      </w:r>
      <w:r>
        <w:rPr>
          <w:rFonts w:ascii="Theinhardt Bold" w:hAnsi="Theinhardt Bold" w:cs="Theinhardt Bold" w:eastAsia="Theinhardt Bold"/>
          <w:b/>
          <w:bCs/>
          <w:color w:val="0C1C23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sichern</w:t>
      </w:r>
      <w:r>
        <w:rPr>
          <w:rFonts w:ascii="Theinhardt Bold" w:hAnsi="Theinhardt Bold" w:cs="Theinhardt Bold" w:eastAsia="Theinhardt Bold"/>
          <w:b/>
          <w:bCs/>
          <w:color w:val="0C1C23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0C1C23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gesamte</w:t>
      </w:r>
      <w:r>
        <w:rPr>
          <w:rFonts w:ascii="Theinhardt Bold" w:hAnsi="Theinhardt Bold" w:cs="Theinhardt Bold" w:eastAsia="Theinhardt Bold"/>
          <w:b/>
          <w:bCs/>
          <w:color w:val="0C1C23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Wärmeversorgung.</w:t>
      </w:r>
      <w:r>
        <w:rPr>
          <w:rFonts w:ascii="Theinhardt Bold" w:hAnsi="Theinhardt Bold" w:cs="Theinhardt Bold" w:eastAsia="Theinhardt Bold"/>
          <w:b/>
          <w:bCs/>
          <w:color w:val="0C1C23"/>
          <w:spacing w:val="-1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Das</w:t>
      </w:r>
      <w:r>
        <w:rPr>
          <w:rFonts w:ascii="Theinhardt Bold" w:hAnsi="Theinhardt Bold" w:cs="Theinhardt Bold" w:eastAsia="Theinhardt Bold"/>
          <w:b/>
          <w:bCs/>
          <w:color w:val="0C1C23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PlusEner-</w:t>
      </w:r>
      <w:r>
        <w:rPr>
          <w:rFonts w:ascii="Theinhardt Bold" w:hAnsi="Theinhardt Bold" w:cs="Theinhardt Bold" w:eastAsia="Theinhardt Bold"/>
          <w:b/>
          <w:bCs/>
          <w:color w:val="0C1C23"/>
          <w:spacing w:val="8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gie-MFH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rund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174%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b/>
          <w:bCs/>
          <w:color w:val="0C1C23"/>
          <w:spacing w:val="-1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dem</w:t>
      </w:r>
      <w:r>
        <w:rPr>
          <w:rFonts w:ascii="Theinhardt Bold" w:hAnsi="Theinhardt Bold" w:cs="Theinhardt Bold" w:eastAsia="Theinhardt Bold"/>
          <w:b/>
          <w:bCs/>
          <w:color w:val="0C1C23"/>
          <w:spacing w:val="-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Solarstromüberschuss</w:t>
      </w:r>
      <w:r>
        <w:rPr>
          <w:rFonts w:ascii="Theinhardt Bold" w:hAnsi="Theinhardt Bold" w:cs="Theinhardt Bold" w:eastAsia="Theinhardt Bold"/>
          <w:b/>
          <w:bCs/>
          <w:color w:val="0C1C23"/>
          <w:spacing w:val="5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7’300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3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können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fünf Elektromobile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jährlich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je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12’000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km CO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position w:val="-5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0C1C23"/>
          <w:spacing w:val="-1"/>
          <w:sz w:val="18"/>
          <w:szCs w:val="18"/>
        </w:rPr>
        <w:t>-frei</w:t>
      </w:r>
      <w:r>
        <w:rPr>
          <w:rFonts w:ascii="Theinhardt Bold" w:hAnsi="Theinhardt Bold" w:cs="Theinhardt Bold" w:eastAsia="Theinhardt Bold"/>
          <w:b/>
          <w:bCs/>
          <w:color w:val="0C1C23"/>
          <w:spacing w:val="-2"/>
          <w:sz w:val="18"/>
          <w:szCs w:val="18"/>
        </w:rPr>
        <w:t> fahren.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1910" w:h="16840"/>
          <w:pgMar w:top="840" w:bottom="280" w:left="460" w:right="740"/>
          <w:cols w:num="2" w:equalWidth="0">
            <w:col w:w="2554" w:space="125"/>
            <w:col w:w="803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before="5"/>
        <w:ind w:left="106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4"/>
          <w:sz w:val="40"/>
        </w:rPr>
        <w:t>174%-PEB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pacing w:val="-2"/>
          <w:sz w:val="40"/>
        </w:rPr>
        <w:t>Generationen-MFH,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8570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z w:val="40"/>
        </w:rPr>
        <w:t>Weinfelden/TG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1910" w:h="16840"/>
          <w:pgMar w:top="840" w:bottom="280" w:left="460" w:right="740"/>
        </w:sectPr>
      </w:pPr>
    </w:p>
    <w:p>
      <w:pPr>
        <w:pStyle w:val="BodyText"/>
        <w:spacing w:line="230" w:lineRule="exact" w:before="52"/>
        <w:ind w:right="8"/>
        <w:jc w:val="both"/>
      </w:pPr>
      <w:r>
        <w:rPr>
          <w:color w:val="231F20"/>
        </w:rPr>
        <w:t>Das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im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Januar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2018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fertigerstellte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drei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Ge-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nerationen-Mehrfamilienhaus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(MFH)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liegt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Weinfelden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im</w:t>
      </w:r>
      <w:r>
        <w:rPr>
          <w:color w:val="231F20"/>
          <w:spacing w:val="42"/>
        </w:rPr>
        <w:t> </w:t>
      </w:r>
      <w:r>
        <w:rPr>
          <w:color w:val="231F20"/>
          <w:spacing w:val="-3"/>
        </w:rPr>
        <w:t>Thurgau.</w:t>
      </w:r>
      <w:r>
        <w:rPr>
          <w:color w:val="231F20"/>
          <w:spacing w:val="47"/>
        </w:rPr>
        <w:t> </w:t>
      </w:r>
      <w:r>
        <w:rPr>
          <w:color w:val="231F20"/>
        </w:rPr>
        <w:t>Das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PlusEnergie-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MFH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erfüllt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dank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tiefer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U-Werte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Wän-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0.10</w:t>
      </w:r>
      <w:r>
        <w:rPr>
          <w:color w:val="231F20"/>
          <w:spacing w:val="25"/>
        </w:rPr>
        <w:t> </w:t>
      </w:r>
      <w:r>
        <w:rPr>
          <w:color w:val="231F20"/>
          <w:spacing w:val="-6"/>
        </w:rPr>
        <w:t>W/m</w:t>
      </w:r>
      <w:r>
        <w:rPr>
          <w:color w:val="231F20"/>
          <w:spacing w:val="-6"/>
          <w:position w:val="6"/>
          <w:sz w:val="10"/>
        </w:rPr>
        <w:t>2</w:t>
      </w:r>
      <w:r>
        <w:rPr>
          <w:color w:val="231F20"/>
          <w:spacing w:val="-6"/>
        </w:rPr>
        <w:t>K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Dach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mit</w:t>
      </w:r>
      <w:r>
        <w:rPr/>
      </w:r>
    </w:p>
    <w:p>
      <w:pPr>
        <w:pStyle w:val="BodyText"/>
        <w:tabs>
          <w:tab w:pos="1567" w:val="left" w:leader="none"/>
        </w:tabs>
        <w:spacing w:line="230" w:lineRule="exact"/>
        <w:ind w:right="1"/>
        <w:jc w:val="both"/>
      </w:pPr>
      <w:r>
        <w:rPr>
          <w:color w:val="231F20"/>
          <w:spacing w:val="-2"/>
        </w:rPr>
        <w:t>0.097</w:t>
      </w:r>
      <w:r>
        <w:rPr>
          <w:color w:val="231F20"/>
          <w:spacing w:val="28"/>
        </w:rPr>
        <w:t> </w:t>
      </w:r>
      <w:r>
        <w:rPr>
          <w:color w:val="231F20"/>
          <w:spacing w:val="-5"/>
        </w:rPr>
        <w:t>W/m</w:t>
      </w:r>
      <w:r>
        <w:rPr>
          <w:color w:val="231F20"/>
          <w:spacing w:val="-5"/>
          <w:position w:val="6"/>
          <w:sz w:val="10"/>
        </w:rPr>
        <w:t>2</w:t>
      </w:r>
      <w:r>
        <w:rPr>
          <w:color w:val="231F20"/>
          <w:spacing w:val="-5"/>
        </w:rPr>
        <w:t>K,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Wärmerückgewinnungs-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anlage</w:t>
      </w:r>
      <w:r>
        <w:rPr>
          <w:color w:val="231F20"/>
          <w:spacing w:val="41"/>
        </w:rPr>
        <w:t> </w:t>
      </w:r>
      <w:r>
        <w:rPr>
          <w:color w:val="231F20"/>
          <w:spacing w:val="-2"/>
        </w:rPr>
        <w:t>inkl.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Komfortlüftung,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2/3</w:t>
      </w:r>
      <w:r>
        <w:rPr>
          <w:color w:val="231F20"/>
          <w:spacing w:val="42"/>
        </w:rPr>
        <w:t> </w:t>
      </w:r>
      <w:r>
        <w:rPr>
          <w:color w:val="231F20"/>
          <w:spacing w:val="-2"/>
        </w:rPr>
        <w:t>A+++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Haushaltsgeräte sowie den </w:t>
      </w:r>
      <w:r>
        <w:rPr>
          <w:color w:val="231F20"/>
          <w:spacing w:val="-3"/>
        </w:rPr>
        <w:t>dreifach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verglas-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ten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Fenstern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den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Minergie-P-ECO-Standard.</w:t>
      </w:r>
      <w:r>
        <w:rPr>
          <w:color w:val="231F20"/>
          <w:spacing w:val="27"/>
        </w:rPr>
        <w:t> </w:t>
      </w:r>
      <w:r>
        <w:rPr>
          <w:color w:val="231F20"/>
        </w:rPr>
        <w:t>Im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Sommer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muss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weniger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oder</w:t>
      </w:r>
      <w:r>
        <w:rPr>
          <w:color w:val="231F20"/>
          <w:spacing w:val="28"/>
        </w:rPr>
        <w:t> </w:t>
      </w:r>
      <w:r>
        <w:rPr>
          <w:color w:val="231F20"/>
          <w:spacing w:val="-2"/>
        </w:rPr>
        <w:t>überhaupt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nicht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gekühlt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werden.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diesem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vorbildlich</w:t>
      </w:r>
      <w:r>
        <w:rPr>
          <w:color w:val="231F20"/>
          <w:spacing w:val="35"/>
        </w:rPr>
        <w:t> </w:t>
      </w:r>
      <w:r>
        <w:rPr>
          <w:color w:val="231F20"/>
          <w:spacing w:val="-2"/>
          <w:w w:val="95"/>
        </w:rPr>
        <w:t>energieeffi</w:t>
        <w:tab/>
      </w:r>
      <w:r>
        <w:rPr>
          <w:color w:val="231F20"/>
          <w:spacing w:val="-2"/>
        </w:rPr>
        <w:t>Baustandard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leisten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Ei-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gentümer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-3"/>
        </w:rPr>
        <w:t> Hausbewohner </w:t>
      </w:r>
      <w:r>
        <w:rPr>
          <w:color w:val="231F20"/>
          <w:spacing w:val="-2"/>
        </w:rPr>
        <w:t>einen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optima-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len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Beitrag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gegen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Klimaerwärmung.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Die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passive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Solarnutzung,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solarbetriebene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Wärmepumpe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ein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kleiner</w:t>
      </w:r>
      <w:r>
        <w:rPr>
          <w:color w:val="231F20"/>
          <w:spacing w:val="21"/>
        </w:rPr>
        <w:t> </w:t>
      </w:r>
      <w:r>
        <w:rPr>
          <w:color w:val="231F20"/>
          <w:spacing w:val="-2"/>
        </w:rPr>
        <w:t>Holzofen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mit</w:t>
      </w:r>
      <w:r>
        <w:rPr/>
      </w:r>
    </w:p>
    <w:p>
      <w:pPr>
        <w:pStyle w:val="BodyText"/>
        <w:spacing w:line="230" w:lineRule="exact"/>
        <w:ind w:right="8"/>
        <w:jc w:val="both"/>
      </w:pPr>
      <w:r>
        <w:rPr>
          <w:color w:val="231F20"/>
          <w:spacing w:val="-2"/>
        </w:rPr>
        <w:t>0.5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Ster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Holz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sichern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gesamte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Wärmever-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sorgung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für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Familien-,</w:t>
      </w:r>
      <w:r>
        <w:rPr>
          <w:color w:val="231F20"/>
          <w:spacing w:val="-1"/>
        </w:rPr>
        <w:t> die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Single-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sowie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altersegerechte</w:t>
      </w:r>
      <w:r>
        <w:rPr>
          <w:color w:val="231F20"/>
          <w:spacing w:val="-4"/>
        </w:rPr>
        <w:t> Parterre-Wohnung.</w:t>
      </w:r>
      <w:r>
        <w:rPr/>
      </w:r>
    </w:p>
    <w:p>
      <w:pPr>
        <w:pStyle w:val="BodyText"/>
        <w:spacing w:line="230" w:lineRule="exact"/>
        <w:ind w:right="0" w:firstLine="226"/>
        <w:jc w:val="both"/>
      </w:pPr>
      <w:r>
        <w:rPr>
          <w:color w:val="231F20"/>
          <w:spacing w:val="-1"/>
        </w:rPr>
        <w:t>Der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Gesamtenergiebedarf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15"/>
        </w:rPr>
        <w:t> </w:t>
      </w:r>
      <w:r>
        <w:rPr>
          <w:color w:val="231F20"/>
          <w:spacing w:val="-3"/>
        </w:rPr>
        <w:t>PlusEner-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gie-MFH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liegt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bei</w:t>
      </w:r>
      <w:r>
        <w:rPr>
          <w:color w:val="231F20"/>
          <w:spacing w:val="34"/>
        </w:rPr>
        <w:t> </w:t>
      </w:r>
      <w:r>
        <w:rPr>
          <w:color w:val="231F20"/>
          <w:spacing w:val="-2"/>
        </w:rPr>
        <w:t>niedrigen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9’900</w:t>
      </w:r>
      <w:r>
        <w:rPr>
          <w:color w:val="231F20"/>
          <w:spacing w:val="35"/>
        </w:rPr>
        <w:t> </w:t>
      </w:r>
      <w:r>
        <w:rPr>
          <w:color w:val="231F20"/>
          <w:spacing w:val="-3"/>
        </w:rPr>
        <w:t>kWh/a.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beispielhafte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Energiekennzahl</w:t>
      </w:r>
      <w:r>
        <w:rPr>
          <w:color w:val="231F20"/>
          <w:spacing w:val="32"/>
        </w:rPr>
        <w:t> </w:t>
      </w:r>
      <w:r>
        <w:rPr>
          <w:color w:val="231F20"/>
          <w:spacing w:val="-2"/>
        </w:rPr>
        <w:t>liegt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bei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bloss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31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kWh/m</w:t>
      </w:r>
      <w:r>
        <w:rPr>
          <w:color w:val="231F20"/>
          <w:spacing w:val="-2"/>
          <w:position w:val="6"/>
          <w:sz w:val="10"/>
          <w:szCs w:val="10"/>
        </w:rPr>
        <w:t>2</w:t>
      </w:r>
      <w:r>
        <w:rPr>
          <w:color w:val="231F20"/>
          <w:spacing w:val="-2"/>
        </w:rPr>
        <w:t>a.</w:t>
      </w:r>
      <w:r>
        <w:rPr>
          <w:color w:val="231F20"/>
          <w:spacing w:val="13"/>
        </w:rPr>
        <w:t> </w:t>
      </w:r>
      <w:r>
        <w:rPr>
          <w:color w:val="231F20"/>
          <w:spacing w:val="-2"/>
        </w:rPr>
        <w:t>Auf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dem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Dach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ist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eine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ost-westlich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ausgerichtete,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17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kW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starke</w:t>
      </w:r>
      <w:r>
        <w:rPr>
          <w:color w:val="231F20"/>
          <w:spacing w:val="30"/>
        </w:rPr>
        <w:t> </w:t>
      </w:r>
      <w:r>
        <w:rPr>
          <w:color w:val="231F20"/>
          <w:spacing w:val="-2"/>
        </w:rPr>
        <w:t>monokristalline</w:t>
      </w:r>
      <w:r>
        <w:rPr>
          <w:color w:val="231F20"/>
          <w:spacing w:val="40"/>
        </w:rPr>
        <w:t> </w:t>
      </w:r>
      <w:r>
        <w:rPr>
          <w:color w:val="231F20"/>
          <w:spacing w:val="-3"/>
        </w:rPr>
        <w:t>PV-Anlage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installiert.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Diese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erzeugt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pro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Jahr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17’300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kWh.</w:t>
      </w:r>
      <w:r>
        <w:rPr>
          <w:color w:val="231F20"/>
          <w:spacing w:val="-26"/>
        </w:rPr>
        <w:t> </w:t>
      </w:r>
      <w:r>
        <w:rPr>
          <w:color w:val="231F20"/>
          <w:spacing w:val="-2"/>
        </w:rPr>
        <w:t>Die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Eigenener-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gieversorgung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(EEV)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beträgt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174%.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Mit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dem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Solarstromüberschuss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von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7’300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kWh/a</w:t>
      </w:r>
      <w:r>
        <w:rPr>
          <w:color w:val="231F20"/>
          <w:spacing w:val="45"/>
        </w:rPr>
        <w:t> </w:t>
      </w:r>
      <w:r>
        <w:rPr>
          <w:color w:val="231F20"/>
          <w:spacing w:val="-3"/>
        </w:rPr>
        <w:t>können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fünf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Elektromobile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jährlich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12’000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km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CO</w:t>
      </w:r>
      <w:r>
        <w:rPr>
          <w:color w:val="231F20"/>
          <w:spacing w:val="-3"/>
          <w:position w:val="-5"/>
          <w:sz w:val="10"/>
          <w:szCs w:val="10"/>
        </w:rPr>
        <w:t>2</w:t>
      </w:r>
      <w:r>
        <w:rPr>
          <w:color w:val="231F20"/>
          <w:spacing w:val="-3"/>
        </w:rPr>
        <w:t>-frei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fahren.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Dank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des</w:t>
      </w:r>
      <w:r>
        <w:rPr>
          <w:color w:val="231F20"/>
          <w:spacing w:val="8"/>
        </w:rPr>
        <w:t> </w:t>
      </w:r>
      <w:r>
        <w:rPr>
          <w:color w:val="231F20"/>
          <w:spacing w:val="-3"/>
        </w:rPr>
        <w:t>ökologisch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durchdachten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Baukonzeptes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und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der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hohen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Eigenenergieversorgung</w:t>
      </w:r>
      <w:r>
        <w:rPr>
          <w:color w:val="231F20"/>
          <w:spacing w:val="28"/>
        </w:rPr>
        <w:t> </w:t>
      </w:r>
      <w:r>
        <w:rPr>
          <w:color w:val="231F20"/>
          <w:spacing w:val="-3"/>
        </w:rPr>
        <w:t>(EEV)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verdient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PlusEnergie-MFH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das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Norman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Foster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Solar</w:t>
      </w:r>
      <w:r>
        <w:rPr>
          <w:color w:val="231F20"/>
          <w:spacing w:val="43"/>
        </w:rPr>
        <w:t> </w:t>
      </w:r>
      <w:r>
        <w:rPr>
          <w:color w:val="231F20"/>
          <w:spacing w:val="-3"/>
        </w:rPr>
        <w:t>Award-Diplom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2019.</w:t>
      </w:r>
      <w:r>
        <w:rPr/>
      </w:r>
    </w:p>
    <w:p>
      <w:pPr>
        <w:spacing w:line="230" w:lineRule="exact" w:before="52"/>
        <w:ind w:left="106" w:right="4" w:firstLine="0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/>
        <w:br w:type="column"/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multigénérationnel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apparte-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achevé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2018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situé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Weinfel-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(TG).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certifié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Minergie-P-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ECO: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faibles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valeurs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0,10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W/m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façade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0,097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W/m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toiture,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système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récupération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chaleur,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ventilation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double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flux,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électroménager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tiers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type A+++ et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triple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vitrage.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Cette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norme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d’efficacité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exemplaire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permet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aux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propriétaires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locataires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contribuer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activement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lutte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réchauffement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climatique.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Même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été,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peut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réduire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climatisation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ou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s’en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passer.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L’utilisation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sive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l'énergie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pompe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petit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poêle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bois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0,5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st.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as-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surent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l’approvisionnement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5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appartements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(un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famille,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pour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personne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seule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troisième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au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rez-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de-chaussée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adapté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aux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aînés).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line="230" w:lineRule="exact" w:before="0"/>
        <w:ind w:left="106" w:right="0" w:firstLine="226"/>
        <w:jc w:val="both"/>
        <w:rPr>
          <w:rFonts w:ascii="Theinhardt Regular Italic" w:hAnsi="Theinhardt Regular Italic" w:cs="Theinhardt Regular Italic" w:eastAsia="Theinhardt Regular Italic"/>
          <w:sz w:val="18"/>
          <w:szCs w:val="18"/>
        </w:rPr>
      </w:pP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consomme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9’900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présente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indice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dépense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énergé-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tique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exemplaire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31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kWh/m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position w:val="6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Sur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ver-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du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orienté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est-ouest,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9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PV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monocristalline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17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kW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fournit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17’300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L’autoproduction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est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ainsi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174%.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L’excédent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7’300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permettrait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4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cinq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véhicules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électriques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parcourir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6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cha-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5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cun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12’000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5"/>
          <w:sz w:val="18"/>
          <w:szCs w:val="18"/>
        </w:rPr>
        <w:t>km/a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sans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émettre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3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.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8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Grâce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concept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construction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écologi-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0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quement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abouti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et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assurant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 une autoproduc-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2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tion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élevée,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7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multigénérationnel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reçoit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31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diplôme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Norman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3"/>
          <w:sz w:val="18"/>
          <w:szCs w:val="18"/>
        </w:rPr>
        <w:t>Foster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Solar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"/>
          <w:sz w:val="18"/>
          <w:szCs w:val="18"/>
        </w:rPr>
        <w:t>Award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pacing w:val="-14"/>
          <w:sz w:val="18"/>
          <w:szCs w:val="18"/>
        </w:rPr>
        <w:t> </w:t>
      </w:r>
      <w:r>
        <w:rPr>
          <w:rFonts w:ascii="Theinhardt Regular Italic" w:hAnsi="Theinhardt Regular Italic" w:cs="Theinhardt Regular Italic" w:eastAsia="Theinhardt Regular Italic"/>
          <w:i/>
          <w:color w:val="231F20"/>
          <w:sz w:val="18"/>
          <w:szCs w:val="18"/>
        </w:rPr>
        <w:t>2019.</w:t>
      </w:r>
      <w:r>
        <w:rPr>
          <w:rFonts w:ascii="Theinhardt Regular Italic" w:hAnsi="Theinhardt Regular Italic" w:cs="Theinhardt Regular Italic" w:eastAsia="Theinhardt Regular Italic"/>
          <w:sz w:val="18"/>
          <w:szCs w:val="18"/>
        </w:rPr>
      </w:r>
    </w:p>
    <w:p>
      <w:pPr>
        <w:spacing w:before="101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2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193" w:val="left" w:leader="none"/>
          <w:tab w:pos="1788" w:val="left" w:leader="none"/>
          <w:tab w:pos="2661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</w:r>
      <w:r>
        <w:rPr>
          <w:rFonts w:ascii="Theinhardt Regular"/>
          <w:color w:val="231F20"/>
          <w:spacing w:val="-1"/>
          <w:sz w:val="14"/>
        </w:rPr>
        <w:t>28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190" w:val="left" w:leader="none"/>
          <w:tab w:pos="1788" w:val="left" w:leader="none"/>
          <w:tab w:pos="2559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  <w:t>48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z w:val="14"/>
        </w:rPr>
        <w:t>0.097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075" w:val="left" w:leader="none"/>
          <w:tab w:pos="1788" w:val="left" w:leader="none"/>
          <w:tab w:pos="2664" w:val="left" w:leader="none"/>
        </w:tabs>
        <w:spacing w:line="207" w:lineRule="auto" w:before="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  <w:t>60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  <w:tab/>
      </w:r>
      <w:r>
        <w:rPr>
          <w:rFonts w:ascii="Theinhardt Regular"/>
          <w:color w:val="231F20"/>
          <w:spacing w:val="-5"/>
          <w:sz w:val="14"/>
        </w:rPr>
        <w:t>0.12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</w:r>
      <w:r>
        <w:rPr>
          <w:rFonts w:ascii="Theinhardt Regular"/>
          <w:color w:val="231F20"/>
          <w:w w:val="95"/>
          <w:sz w:val="14"/>
        </w:rPr>
        <w:t>dreifach</w:t>
        <w:tab/>
      </w:r>
      <w:r>
        <w:rPr>
          <w:rFonts w:ascii="Theinhardt Regular"/>
          <w:color w:val="231F20"/>
          <w:spacing w:val="1"/>
          <w:sz w:val="14"/>
        </w:rPr>
        <w:t>U-Wert:</w:t>
        <w:tab/>
      </w:r>
      <w:r>
        <w:rPr>
          <w:rFonts w:ascii="Theinhardt Regular"/>
          <w:color w:val="231F20"/>
          <w:sz w:val="14"/>
        </w:rPr>
        <w:t>0.8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before="38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tabs>
          <w:tab w:pos="1694" w:val="left" w:leader="none"/>
          <w:tab w:pos="1920" w:val="left" w:leader="none"/>
          <w:tab w:pos="2490" w:val="left" w:leader="none"/>
          <w:tab w:pos="2992" w:val="left" w:leader="none"/>
          <w:tab w:pos="3026" w:val="left" w:leader="none"/>
        </w:tabs>
        <w:spacing w:line="160" w:lineRule="exact" w:before="39"/>
        <w:ind w:left="106" w:right="166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EBF: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318.5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Heizung/Warmwasser:</w:t>
        <w:tab/>
        <w:tab/>
      </w:r>
      <w:r>
        <w:rPr>
          <w:rFonts w:ascii="Theinhardt Regular" w:hAnsi="Theinhardt Regular" w:cs="Theinhardt Regular" w:eastAsia="Theinhardt Regular"/>
          <w:color w:val="231F20"/>
          <w:spacing w:val="-6"/>
          <w:sz w:val="14"/>
          <w:szCs w:val="14"/>
        </w:rPr>
        <w:t>14.14</w:t>
        <w:tab/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45</w:t>
        <w:tab/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4’502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898" w:val="left" w:leader="none"/>
          <w:tab w:pos="2498" w:val="left" w:leader="none"/>
          <w:tab w:pos="3024" w:val="left" w:leader="none"/>
        </w:tabs>
        <w:spacing w:line="165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Elektrizität: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14.58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w w:val="95"/>
          <w:sz w:val="14"/>
          <w:szCs w:val="14"/>
        </w:rPr>
        <w:t>47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4’644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82" w:val="left" w:leader="none"/>
          <w:tab w:pos="2575" w:val="left" w:leader="none"/>
          <w:tab w:pos="3395" w:val="righ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Holz:</w:t>
        <w:tab/>
      </w:r>
      <w:r>
        <w:rPr>
          <w:rFonts w:ascii="Theinhardt Regular"/>
          <w:color w:val="231F20"/>
          <w:spacing w:val="-2"/>
          <w:w w:val="95"/>
          <w:sz w:val="14"/>
        </w:rPr>
        <w:t>2.51</w:t>
        <w:tab/>
      </w:r>
      <w:r>
        <w:rPr>
          <w:rFonts w:ascii="Theinhardt Regular"/>
          <w:color w:val="231F20"/>
          <w:sz w:val="14"/>
        </w:rPr>
        <w:t>8</w:t>
        <w:tab/>
      </w:r>
      <w:r>
        <w:rPr>
          <w:rFonts w:ascii="Theinhardt Regular"/>
          <w:color w:val="231F20"/>
          <w:spacing w:val="2"/>
          <w:sz w:val="14"/>
        </w:rPr>
        <w:t>800</w:t>
      </w:r>
      <w:r>
        <w:rPr>
          <w:rFonts w:ascii="Theinhardt Regular"/>
          <w:sz w:val="14"/>
        </w:rPr>
      </w:r>
    </w:p>
    <w:p>
      <w:pPr>
        <w:tabs>
          <w:tab w:pos="1973" w:val="left" w:leader="none"/>
          <w:tab w:pos="3011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Gesamt-EB: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31.2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  </w:t>
      </w:r>
      <w:r>
        <w:rPr>
          <w:rFonts w:ascii="Theinhardt Bold" w:hAnsi="Theinhardt Bold" w:cs="Theinhardt Bold" w:eastAsia="Theinhardt Bold"/>
          <w:b/>
          <w:bCs/>
          <w:color w:val="231F20"/>
          <w:spacing w:val="9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9’946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Energieversorgung</w:t>
      </w:r>
      <w:r>
        <w:rPr>
          <w:rFonts w:ascii="Theinhardt Bold"/>
          <w:sz w:val="14"/>
        </w:rPr>
      </w:r>
    </w:p>
    <w:p>
      <w:pPr>
        <w:tabs>
          <w:tab w:pos="879" w:val="left" w:leader="none"/>
          <w:tab w:pos="1902" w:val="left" w:leader="none"/>
          <w:tab w:pos="2529" w:val="left" w:leader="none"/>
          <w:tab w:pos="2954" w:val="left" w:leader="none"/>
        </w:tabs>
        <w:spacing w:line="207" w:lineRule="auto" w:before="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Eigen-EV: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  </w:t>
      </w:r>
      <w:r>
        <w:rPr>
          <w:rFonts w:ascii="Theinhardt Regular" w:hAnsi="Theinhardt Regular" w:cs="Theinhardt Regular" w:eastAsia="Theinhardt Regular"/>
          <w:color w:val="231F20"/>
          <w:spacing w:val="11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  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100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16.8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172.9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6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7"/>
          <w:sz w:val="14"/>
          <w:szCs w:val="14"/>
        </w:rPr>
        <w:t>174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17’291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1903" w:val="left" w:leader="none"/>
          <w:tab w:pos="2946" w:val="left" w:leader="none"/>
        </w:tabs>
        <w:spacing w:line="171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Potential: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149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1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25.0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172.9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259</w:t>
        <w:tab/>
        <w:t>25’764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21" w:val="left" w:leader="none"/>
          <w:tab w:pos="2937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w w:val="95"/>
          <w:sz w:val="14"/>
          <w:szCs w:val="14"/>
        </w:rPr>
        <w:t>174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17’291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7"/>
        <w:rPr>
          <w:rFonts w:ascii="Theinhardt Bold" w:hAnsi="Theinhardt Bold" w:cs="Theinhardt Bold" w:eastAsia="Theinhardt Bold"/>
          <w:b/>
          <w:bCs/>
          <w:sz w:val="11"/>
          <w:szCs w:val="11"/>
        </w:rPr>
      </w:pPr>
    </w:p>
    <w:p>
      <w:pPr>
        <w:tabs>
          <w:tab w:pos="2529" w:val="left" w:leader="none"/>
          <w:tab w:pos="2992" w:val="left" w:leader="none"/>
        </w:tabs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(Endenergie)</w:t>
        <w:tab/>
      </w:r>
      <w:r>
        <w:rPr>
          <w:rFonts w:ascii="Theinhardt Regular"/>
          <w:color w:val="231F20"/>
          <w:sz w:val="14"/>
        </w:rPr>
        <w:t>%</w:t>
        <w:tab/>
      </w:r>
      <w:r>
        <w:rPr>
          <w:rFonts w:ascii="Theinhardt Regular"/>
          <w:color w:val="231F20"/>
          <w:spacing w:val="-1"/>
          <w:sz w:val="14"/>
        </w:rPr>
        <w:t>kWh/a</w:t>
      </w:r>
      <w:r>
        <w:rPr>
          <w:rFonts w:ascii="Theinhardt Regular"/>
          <w:sz w:val="14"/>
        </w:rPr>
      </w:r>
    </w:p>
    <w:p>
      <w:pPr>
        <w:tabs>
          <w:tab w:pos="2421" w:val="left" w:leader="none"/>
          <w:tab w:pos="2937" w:val="left" w:leader="none"/>
        </w:tabs>
        <w:spacing w:line="160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Eigenenergieversorgung: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4"/>
          <w:w w:val="95"/>
          <w:sz w:val="14"/>
          <w:szCs w:val="14"/>
        </w:rPr>
        <w:t>174</w:t>
        <w:tab/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17’291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tabs>
          <w:tab w:pos="2410" w:val="left" w:leader="none"/>
          <w:tab w:pos="3022" w:val="left" w:leader="none"/>
        </w:tabs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Gesamtenergiebedarf: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w w:val="95"/>
          <w:sz w:val="14"/>
          <w:szCs w:val="14"/>
        </w:rPr>
        <w:t>100</w:t>
        <w:tab/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9’946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498" w:val="left" w:leader="none"/>
          <w:tab w:pos="3011" w:val="left" w:leader="none"/>
        </w:tabs>
        <w:spacing w:line="172" w:lineRule="exact" w:before="0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Solarstromüberschuss: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w w:val="95"/>
          <w:sz w:val="14"/>
          <w:szCs w:val="14"/>
        </w:rPr>
        <w:t>74</w:t>
        <w:tab/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7’345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160" w:lineRule="exact" w:before="39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Technische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Betriebe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Weinfelden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AG</w:t>
      </w:r>
      <w:r>
        <w:rPr>
          <w:rFonts w:ascii="Theinhardt Bold" w:hAnsi="Theinhardt Bold"/>
          <w:b/>
          <w:color w:val="231F20"/>
          <w:spacing w:val="2"/>
          <w:sz w:val="14"/>
        </w:rPr>
        <w:t> (TBW</w:t>
      </w:r>
      <w:r>
        <w:rPr>
          <w:rFonts w:ascii="Theinhardt Bold" w:hAnsi="Theinhardt Bold"/>
          <w:b/>
          <w:color w:val="231F20"/>
          <w:sz w:val="14"/>
        </w:rPr>
        <w:t> AG)</w:t>
      </w:r>
      <w:r>
        <w:rPr>
          <w:rFonts w:ascii="Theinhardt Bold" w:hAnsi="Theinhardt Bold"/>
          <w:b/>
          <w:color w:val="231F20"/>
          <w:spacing w:val="2"/>
          <w:sz w:val="14"/>
        </w:rPr>
        <w:t> </w:t>
      </w:r>
      <w:r>
        <w:rPr>
          <w:rFonts w:ascii="Theinhardt Regular" w:hAnsi="Theinhardt Regular"/>
          <w:color w:val="231F20"/>
          <w:sz w:val="14"/>
        </w:rPr>
        <w:t>am </w:t>
      </w:r>
      <w:r>
        <w:rPr>
          <w:rFonts w:ascii="Theinhardt Regular" w:hAnsi="Theinhardt Regular"/>
          <w:color w:val="231F20"/>
          <w:spacing w:val="-2"/>
          <w:sz w:val="14"/>
        </w:rPr>
        <w:t>30.07.2019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Adrian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Gremlich,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626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82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82</w:t>
      </w:r>
      <w:r>
        <w:rPr>
          <w:rFonts w:ascii="Theinhardt Regular"/>
          <w:sz w:val="14"/>
        </w:rPr>
      </w:r>
    </w:p>
    <w:p>
      <w:pPr>
        <w:spacing w:before="88"/>
        <w:ind w:left="106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06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60" w:lineRule="exact" w:before="28"/>
        <w:ind w:left="106" w:right="78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</w:t>
      </w:r>
      <w:r>
        <w:rPr>
          <w:rFonts w:ascii="Theinhardt Bold" w:hAnsi="Theinhardt Bold"/>
          <w:b/>
          <w:color w:val="231F20"/>
          <w:spacing w:val="4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Ines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Gamboni</w:t>
      </w:r>
      <w:r>
        <w:rPr>
          <w:rFonts w:ascii="Theinhardt Regular" w:hAnsi="Theinhardt Regular"/>
          <w:color w:val="231F20"/>
          <w:sz w:val="14"/>
        </w:rPr>
        <w:t> + </w:t>
      </w:r>
      <w:r>
        <w:rPr>
          <w:rFonts w:ascii="Theinhardt Regular" w:hAnsi="Theinhardt Regular"/>
          <w:color w:val="231F20"/>
          <w:spacing w:val="2"/>
          <w:sz w:val="14"/>
        </w:rPr>
        <w:t>Martin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Müller</w:t>
      </w:r>
      <w:r>
        <w:rPr>
          <w:rFonts w:ascii="Theinhardt Regular" w:hAnsi="Theinhardt Regular"/>
          <w:color w:val="231F20"/>
          <w:spacing w:val="29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Schwalbenweg</w:t>
      </w:r>
      <w:r>
        <w:rPr>
          <w:rFonts w:ascii="Theinhardt Regular" w:hAnsi="Theinhardt Regular"/>
          <w:color w:val="231F20"/>
          <w:sz w:val="14"/>
        </w:rPr>
        <w:t> 2, </w:t>
      </w:r>
      <w:r>
        <w:rPr>
          <w:rFonts w:ascii="Theinhardt Regular" w:hAnsi="Theinhardt Regular"/>
          <w:color w:val="231F20"/>
          <w:spacing w:val="-1"/>
          <w:sz w:val="14"/>
        </w:rPr>
        <w:t>8570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Weinfelden</w:t>
      </w:r>
      <w:r>
        <w:rPr>
          <w:rFonts w:ascii="Theinhardt Regular" w:hAnsi="Theinhardt Regular"/>
          <w:sz w:val="14"/>
        </w:rPr>
      </w:r>
    </w:p>
    <w:p>
      <w:pPr>
        <w:spacing w:line="172" w:lineRule="exact" w:before="49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sz w:val="14"/>
        </w:rPr>
      </w:r>
    </w:p>
    <w:p>
      <w:pPr>
        <w:spacing w:line="160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Bauatelier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Metzler</w:t>
      </w:r>
      <w:r>
        <w:rPr>
          <w:rFonts w:ascii="Theinhardt Regular"/>
          <w:sz w:val="14"/>
        </w:rPr>
      </w:r>
    </w:p>
    <w:p>
      <w:pPr>
        <w:spacing w:line="207" w:lineRule="auto" w:before="5"/>
        <w:ind w:left="106" w:right="76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Architektur,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Grünraum,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Energieeffizienz</w:t>
      </w:r>
      <w:r>
        <w:rPr>
          <w:rFonts w:ascii="Theinhardt Regular" w:hAnsi="Theinhardt Regular"/>
          <w:color w:val="231F20"/>
          <w:spacing w:val="54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Schmidgasse</w:t>
      </w:r>
      <w:r>
        <w:rPr>
          <w:rFonts w:ascii="Theinhardt Regular" w:hAnsi="Theinhardt Regular"/>
          <w:color w:val="231F20"/>
          <w:sz w:val="14"/>
        </w:rPr>
        <w:t> 25e, </w:t>
      </w:r>
      <w:r>
        <w:rPr>
          <w:rFonts w:ascii="Theinhardt Regular" w:hAnsi="Theinhardt Regular"/>
          <w:color w:val="231F20"/>
          <w:spacing w:val="1"/>
          <w:sz w:val="14"/>
        </w:rPr>
        <w:t>8500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Frauenfeld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52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740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08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81</w:t>
      </w:r>
      <w:hyperlink r:id="rId6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www.bauatelier-metzler.ch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Bauingenieur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76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Plácido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Pérez,</w:t>
      </w:r>
      <w:r>
        <w:rPr>
          <w:rFonts w:ascii="Theinhardt Regular" w:hAnsi="Theinhardt Regular"/>
          <w:color w:val="231F20"/>
          <w:sz w:val="14"/>
        </w:rPr>
        <w:t> dipl. </w:t>
      </w:r>
      <w:r>
        <w:rPr>
          <w:rFonts w:ascii="Theinhardt Regular" w:hAnsi="Theinhardt Regular"/>
          <w:color w:val="231F20"/>
          <w:spacing w:val="1"/>
          <w:sz w:val="14"/>
        </w:rPr>
        <w:t>Bauingenieure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GmbH</w:t>
      </w:r>
      <w:r>
        <w:rPr>
          <w:rFonts w:ascii="Theinhardt Regular" w:hAnsi="Theinhardt Regular"/>
          <w:color w:val="231F20"/>
          <w:spacing w:val="42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Via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Atria</w:t>
      </w:r>
      <w:r>
        <w:rPr>
          <w:rFonts w:ascii="Theinhardt Regular" w:hAnsi="Theinhardt Regular"/>
          <w:color w:val="231F20"/>
          <w:sz w:val="14"/>
        </w:rPr>
        <w:t> 2, </w:t>
      </w:r>
      <w:r>
        <w:rPr>
          <w:rFonts w:ascii="Theinhardt Regular" w:hAnsi="Theinhardt Regular"/>
          <w:color w:val="231F20"/>
          <w:spacing w:val="-2"/>
          <w:sz w:val="14"/>
        </w:rPr>
        <w:t>7402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Bonaduz</w:t>
      </w:r>
      <w:r>
        <w:rPr>
          <w:rFonts w:ascii="Theinhardt Regular" w:hAnsi="Theinhardt Regular"/>
          <w:sz w:val="14"/>
        </w:rPr>
      </w:r>
    </w:p>
    <w:p>
      <w:pPr>
        <w:spacing w:line="154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81</w:t>
      </w:r>
      <w:r>
        <w:rPr>
          <w:rFonts w:ascii="Theinhardt Regular"/>
          <w:color w:val="231F20"/>
          <w:sz w:val="14"/>
        </w:rPr>
        <w:t> 630 </w:t>
      </w:r>
      <w:r>
        <w:rPr>
          <w:rFonts w:ascii="Theinhardt Regular"/>
          <w:color w:val="231F20"/>
          <w:spacing w:val="-1"/>
          <w:sz w:val="14"/>
        </w:rPr>
        <w:t>23</w:t>
      </w:r>
      <w:r>
        <w:rPr>
          <w:rFonts w:ascii="Theinhardt Regular"/>
          <w:color w:val="231F20"/>
          <w:sz w:val="14"/>
        </w:rPr>
        <w:t> 20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hyperlink r:id="rId7">
        <w:r>
          <w:rPr>
            <w:rFonts w:ascii="Theinhardt Regular"/>
            <w:color w:val="231F20"/>
            <w:spacing w:val="1"/>
            <w:sz w:val="14"/>
          </w:rPr>
          <w:t>placido.perez@perez-bauingenieure.ch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Planung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HLK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165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Maurer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Ingenieurbüro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2"/>
          <w:sz w:val="14"/>
        </w:rPr>
        <w:t>Urs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Zimmermann</w:t>
      </w:r>
      <w:r>
        <w:rPr>
          <w:rFonts w:ascii="Theinhardt Regular" w:hAnsi="Theinhardt Regular"/>
          <w:color w:val="231F20"/>
          <w:spacing w:val="42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Brühlstrasse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103,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9320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Arbon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447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50</w:t>
      </w:r>
      <w:r>
        <w:rPr>
          <w:rFonts w:ascii="Theinhardt Regular"/>
          <w:color w:val="231F20"/>
          <w:sz w:val="14"/>
        </w:rPr>
        <w:t> 50</w:t>
      </w:r>
      <w:hyperlink r:id="rId8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info@ibmaurer.ch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Holzbau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78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Wiesli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Holzbau</w:t>
      </w:r>
      <w:r>
        <w:rPr>
          <w:rFonts w:ascii="Theinhardt Regular"/>
          <w:color w:val="231F20"/>
          <w:sz w:val="14"/>
        </w:rPr>
        <w:t> AG, </w:t>
      </w:r>
      <w:r>
        <w:rPr>
          <w:rFonts w:ascii="Theinhardt Regular"/>
          <w:color w:val="231F20"/>
          <w:spacing w:val="1"/>
          <w:sz w:val="14"/>
        </w:rPr>
        <w:t>Michael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Wiesli</w:t>
      </w:r>
      <w:r>
        <w:rPr>
          <w:rFonts w:ascii="Theinhardt Regular"/>
          <w:color w:val="231F20"/>
          <w:spacing w:val="22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Eierlenstrasse</w:t>
      </w:r>
      <w:r>
        <w:rPr>
          <w:rFonts w:ascii="Theinhardt Regular"/>
          <w:color w:val="231F20"/>
          <w:sz w:val="14"/>
        </w:rPr>
        <w:t> 6, </w:t>
      </w:r>
      <w:r>
        <w:rPr>
          <w:rFonts w:ascii="Theinhardt Regular"/>
          <w:color w:val="231F20"/>
          <w:spacing w:val="-1"/>
          <w:sz w:val="14"/>
        </w:rPr>
        <w:t>8570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Weinfelden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71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622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24</w:t>
      </w:r>
      <w:r>
        <w:rPr>
          <w:rFonts w:ascii="Theinhardt Regular"/>
          <w:color w:val="231F20"/>
          <w:sz w:val="14"/>
        </w:rPr>
        <w:t> 58</w:t>
      </w:r>
      <w:hyperlink r:id="rId9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info@wiesli-holzbau.ch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06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Installation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Photovoltaik</w:t>
      </w:r>
      <w:r>
        <w:rPr>
          <w:rFonts w:ascii="Theinhardt Bold"/>
          <w:sz w:val="14"/>
        </w:rPr>
      </w:r>
    </w:p>
    <w:p>
      <w:pPr>
        <w:spacing w:line="207" w:lineRule="auto" w:before="5"/>
        <w:ind w:left="106" w:right="788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Alsol</w:t>
      </w:r>
      <w:r>
        <w:rPr>
          <w:rFonts w:ascii="Theinhardt Regular" w:hAnsi="Theinhardt Regular"/>
          <w:color w:val="231F20"/>
          <w:sz w:val="14"/>
        </w:rPr>
        <w:t> AG, </w:t>
      </w:r>
      <w:r>
        <w:rPr>
          <w:rFonts w:ascii="Theinhardt Regular" w:hAnsi="Theinhardt Regular"/>
          <w:color w:val="231F20"/>
          <w:spacing w:val="2"/>
          <w:sz w:val="14"/>
        </w:rPr>
        <w:t>Christian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Schmid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Hungerbüelstrasse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-1"/>
          <w:sz w:val="14"/>
        </w:rPr>
        <w:t>22,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8500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Frauenfeld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52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723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00</w:t>
      </w:r>
      <w:r>
        <w:rPr>
          <w:rFonts w:ascii="Theinhardt Regular"/>
          <w:color w:val="231F20"/>
          <w:sz w:val="14"/>
        </w:rPr>
        <w:t> 40</w:t>
      </w:r>
      <w:hyperlink r:id="rId10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info@alsol.ch</w:t>
        </w:r>
        <w:r>
          <w:rPr>
            <w:rFonts w:ascii="Theinhardt Regular"/>
            <w:sz w:val="14"/>
          </w:rPr>
        </w:r>
      </w:hyperlink>
    </w:p>
    <w:p>
      <w:pPr>
        <w:spacing w:after="0" w:line="16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  <w:cols w:num="3" w:equalWidth="0">
            <w:col w:w="3463" w:space="109"/>
            <w:col w:w="3460" w:space="112"/>
            <w:col w:w="3566"/>
          </w:cols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2"/>
          <w:szCs w:val="2"/>
        </w:rPr>
      </w:pPr>
    </w:p>
    <w:p>
      <w:pPr>
        <w:spacing w:line="20" w:lineRule="atLeast"/>
        <w:ind w:left="725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2"/>
        <w:rPr>
          <w:rFonts w:ascii="Theinhardt Regular" w:hAnsi="Theinhardt Regular" w:cs="Theinhardt Regular" w:eastAsia="Theinhardt Regular"/>
          <w:sz w:val="27"/>
          <w:szCs w:val="27"/>
        </w:rPr>
      </w:pPr>
    </w:p>
    <w:p>
      <w:pPr>
        <w:spacing w:before="70"/>
        <w:ind w:left="106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38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1910" w:h="16840"/>
          <w:pgMar w:top="840" w:bottom="280" w:left="460" w:right="740"/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5"/>
          <w:szCs w:val="5"/>
        </w:rPr>
      </w:pPr>
    </w:p>
    <w:p>
      <w:pPr>
        <w:spacing w:line="200" w:lineRule="atLeast"/>
        <w:ind w:left="110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64516" cy="4286250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516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12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5467" w:val="left" w:leader="none"/>
        </w:tabs>
        <w:spacing w:line="200" w:lineRule="atLeast"/>
        <w:ind w:left="11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3263149" cy="2395728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14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3263149" cy="2395728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149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5467" w:val="left" w:leader="none"/>
        </w:tabs>
        <w:spacing w:before="9"/>
        <w:ind w:left="110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  <w:tab/>
        <w:t>3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Theinhardt Bold" w:hAnsi="Theinhardt Bold" w:cs="Theinhardt Bold" w:eastAsia="Theinhardt Bold"/>
          <w:b/>
          <w:bCs/>
          <w:sz w:val="14"/>
          <w:szCs w:val="14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14"/>
          <w:szCs w:val="14"/>
        </w:rPr>
        <w:sectPr>
          <w:pgSz w:w="11910" w:h="16840"/>
          <w:pgMar w:top="860" w:bottom="280" w:left="740" w:right="460"/>
        </w:sectPr>
      </w:pP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PV-Dachanlage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des MFH produziert rund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17’300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Ein vertikaler Garten kann </w:t>
      </w:r>
      <w:r>
        <w:rPr>
          <w:rFonts w:ascii="Theinhardt Bold" w:hAnsi="Theinhardt Bold"/>
          <w:b/>
          <w:color w:val="231F20"/>
          <w:spacing w:val="-1"/>
          <w:sz w:val="14"/>
        </w:rPr>
        <w:t>dem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feinen</w:t>
      </w:r>
      <w:r>
        <w:rPr>
          <w:rFonts w:ascii="Theinhardt Bold" w:hAnsi="Theinhardt Bold"/>
          <w:b/>
          <w:color w:val="231F20"/>
          <w:sz w:val="14"/>
        </w:rPr>
        <w:t> Gitter </w:t>
      </w:r>
      <w:r>
        <w:rPr>
          <w:rFonts w:ascii="Theinhardt Bold" w:hAnsi="Theinhardt Bold"/>
          <w:b/>
          <w:color w:val="231F20"/>
          <w:spacing w:val="-1"/>
          <w:sz w:val="14"/>
        </w:rPr>
        <w:t>em-</w:t>
      </w:r>
      <w:r>
        <w:rPr>
          <w:rFonts w:ascii="Theinhardt Bold" w:hAnsi="Theinhardt Bold"/>
          <w:b/>
          <w:color w:val="231F20"/>
          <w:spacing w:val="38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porwachsen und trägt zur Beschattung und</w:t>
      </w:r>
      <w:r>
        <w:rPr>
          <w:rFonts w:ascii="Theinhardt Bold" w:hAnsi="Theinhardt Bold"/>
          <w:b/>
          <w:color w:val="231F20"/>
          <w:spacing w:val="29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einem guten Raumklima bei.</w:t>
      </w:r>
      <w:r>
        <w:rPr>
          <w:rFonts w:ascii="Theinhardt Bold" w:hAnsi="Theinhardt Bold"/>
          <w:sz w:val="14"/>
        </w:rPr>
      </w:r>
    </w:p>
    <w:p>
      <w:pPr>
        <w:numPr>
          <w:ilvl w:val="0"/>
          <w:numId w:val="1"/>
        </w:numPr>
        <w:tabs>
          <w:tab w:pos="338" w:val="left" w:leader="none"/>
        </w:tabs>
        <w:spacing w:line="160" w:lineRule="exact" w:before="76"/>
        <w:ind w:left="337" w:right="305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br w:type="column"/>
        <w:t>Die </w:t>
      </w:r>
      <w:r>
        <w:rPr>
          <w:rFonts w:ascii="Theinhardt Bold" w:hAnsi="Theinhardt Bold"/>
          <w:b/>
          <w:color w:val="231F20"/>
          <w:spacing w:val="-1"/>
          <w:sz w:val="14"/>
        </w:rPr>
        <w:t>drei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-1"/>
          <w:sz w:val="14"/>
        </w:rPr>
        <w:t>Wohnungen</w:t>
      </w:r>
      <w:r>
        <w:rPr>
          <w:rFonts w:ascii="Theinhardt Bold" w:hAnsi="Theinhardt Bold"/>
          <w:b/>
          <w:color w:val="231F20"/>
          <w:sz w:val="14"/>
        </w:rPr>
        <w:t> des Generationenhauses</w:t>
      </w:r>
      <w:r>
        <w:rPr>
          <w:rFonts w:ascii="Theinhardt Bold" w:hAnsi="Theinhardt Bold"/>
          <w:b/>
          <w:color w:val="231F20"/>
          <w:spacing w:val="21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sind </w:t>
      </w:r>
      <w:r>
        <w:rPr>
          <w:rFonts w:ascii="Theinhardt Bold" w:hAnsi="Theinhardt Bold"/>
          <w:b/>
          <w:color w:val="231F20"/>
          <w:spacing w:val="-1"/>
          <w:sz w:val="14"/>
        </w:rPr>
        <w:t>den</w:t>
      </w:r>
      <w:r>
        <w:rPr>
          <w:rFonts w:ascii="Theinhardt Bold" w:hAnsi="Theinhardt Bold"/>
          <w:b/>
          <w:color w:val="231F20"/>
          <w:sz w:val="14"/>
        </w:rPr>
        <w:t> Bedürfnissen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Bewohnerinnen</w:t>
      </w:r>
      <w:r>
        <w:rPr>
          <w:rFonts w:ascii="Theinhardt Bold" w:hAnsi="Theinhardt Bold"/>
          <w:b/>
          <w:color w:val="231F20"/>
          <w:spacing w:val="30"/>
          <w:sz w:val="14"/>
        </w:rPr>
        <w:t> </w:t>
      </w:r>
      <w:r>
        <w:rPr>
          <w:rFonts w:ascii="Theinhardt Bold" w:hAnsi="Theinhardt Bold"/>
          <w:b/>
          <w:color w:val="231F20"/>
          <w:sz w:val="14"/>
        </w:rPr>
        <w:t>angepasst.</w:t>
      </w:r>
      <w:r>
        <w:rPr>
          <w:rFonts w:ascii="Theinhardt Bold" w:hAns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1910" w:h="16840"/>
          <w:pgMar w:top="840" w:bottom="280" w:left="740" w:right="460"/>
          <w:cols w:num="3" w:equalWidth="0">
            <w:col w:w="3186" w:space="385"/>
            <w:col w:w="3456" w:space="116"/>
            <w:col w:w="3567"/>
          </w:cols>
        </w:sectPr>
      </w:pPr>
    </w:p>
    <w:p>
      <w:pPr>
        <w:spacing w:line="240" w:lineRule="auto" w:before="12"/>
        <w:rPr>
          <w:rFonts w:ascii="Theinhardt Bold" w:hAnsi="Theinhardt Bold" w:cs="Theinhardt Bold" w:eastAsia="Theinhardt Bold"/>
          <w:b/>
          <w:bCs/>
          <w:sz w:val="23"/>
          <w:szCs w:val="23"/>
        </w:rPr>
      </w:pPr>
    </w:p>
    <w:p>
      <w:pPr>
        <w:spacing w:before="70"/>
        <w:ind w:left="666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2019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2019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39</w:t>
      </w:r>
      <w:r>
        <w:rPr>
          <w:rFonts w:ascii="Theinhardt Heavy"/>
          <w:sz w:val="14"/>
        </w:rPr>
      </w:r>
    </w:p>
    <w:sectPr>
      <w:type w:val="continuous"/>
      <w:pgSz w:w="11910" w:h="16840"/>
      <w:pgMar w:top="840" w:bottom="280" w:left="7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22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06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91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76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61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46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31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16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6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bauatelier-metzler.ch/" TargetMode="External"/><Relationship Id="rId7" Type="http://schemas.openxmlformats.org/officeDocument/2006/relationships/hyperlink" Target="mailto:placido.perez@perez-bauingenieure.ch" TargetMode="External"/><Relationship Id="rId8" Type="http://schemas.openxmlformats.org/officeDocument/2006/relationships/hyperlink" Target="mailto:info@ibmaurer.ch" TargetMode="External"/><Relationship Id="rId9" Type="http://schemas.openxmlformats.org/officeDocument/2006/relationships/hyperlink" Target="mailto:info@wiesli-holzbau.ch" TargetMode="External"/><Relationship Id="rId10" Type="http://schemas.openxmlformats.org/officeDocument/2006/relationships/hyperlink" Target="mailto:info@alsol.ch" TargetMode="External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2019-10-03T16:20:50Z</dcterms:created>
  <dcterms:modified xsi:type="dcterms:W3CDTF">2019-10-03T16:20:50Z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LastSaved">
    <vt:filetime>2019-10-03T00:00:00Z</vt:filetime>
  </property>
</Properties>
</file>