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203pt;width:.1pt;height:.1pt;mso-position-horizontal-relative:page;mso-position-vertical-relative:paragraph;z-index:-680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203pt;width:.1pt;height:.1pt;mso-position-horizontal-relative:page;mso-position-vertical-relative:paragraph;z-index:1096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203pt;width:.1pt;height:.1pt;mso-position-horizontal-relative:page;mso-position-vertical-relative:paragraph;z-index:-6760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203pt;width:.1pt;height:.1pt;mso-position-horizontal-relative:page;mso-position-vertical-relative:paragraph;z-index:1144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410805pt;width:82.204400pt;height:60.2039pt;mso-position-horizontal-relative:page;mso-position-vertical-relative:paragraph;z-index:1168" type="#_x0000_t75" stroked="false">
            <v:imagedata r:id="rId5" o:title=""/>
          </v:shape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PlusEnergieBauten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Migros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Bank-Sondersolarpreis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 für </w:t>
      </w:r>
      <w:r>
        <w:rPr>
          <w:rFonts w:ascii="Theinhardt Regular" w:hAnsi="Theinhardt Regular"/>
          <w:color w:val="231F20"/>
          <w:spacing w:val="-1"/>
          <w:sz w:val="18"/>
        </w:rPr>
        <w:t>PEB-MFH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16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Wohneinheiten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«deltaROSSO»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Vacallo/TI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anfangs</w:t>
      </w:r>
      <w:r>
        <w:rPr>
          <w:rFonts w:ascii="Theinhardt Bold" w:hAnsi="Theinhardt Bold" w:cs="Theinhardt Bold" w:eastAsia="Theinhardt Bold"/>
          <w:b/>
          <w:bCs/>
          <w:color w:val="231F20"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2019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fertig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gestellt.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Minergie-P-Standard,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thermischer-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PV-Solarstrom-Nutzung</w:t>
      </w:r>
      <w:r>
        <w:rPr>
          <w:rFonts w:ascii="Theinhardt Bold" w:hAnsi="Theinhardt Bold" w:cs="Theinhardt Bold" w:eastAsia="Theinhardt Bold"/>
          <w:b/>
          <w:bCs/>
          <w:color w:val="231F20"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tiefen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63’000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integ-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47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45’900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31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solarthermische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65’700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PlusEnergie-MFH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2’650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104%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Vor-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Gebäudeintegration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Süden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Solaranlagen.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Mietzinse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5%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günstiger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Vergleich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ähnlichen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Region.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PEB-MFH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gewinnt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Migros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Bank-Sondersolarpreis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für PEB-MFH 2019.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104%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PEB-MFH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deltaROSSO,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6833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Vacallo/TI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1"/>
        <w:spacing w:line="230" w:lineRule="exact" w:before="52"/>
        <w:ind w:right="0"/>
        <w:jc w:val="both"/>
      </w:pP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color w:val="231F20"/>
        </w:rPr>
        <w:t>alte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Tessiner</w:t>
      </w:r>
      <w:r>
        <w:rPr>
          <w:color w:val="231F20"/>
          <w:spacing w:val="-1"/>
        </w:rPr>
        <w:t> </w:t>
      </w:r>
      <w:r>
        <w:rPr>
          <w:color w:val="231F20"/>
        </w:rPr>
        <w:t>Dorftaverne</w:t>
      </w:r>
      <w:r>
        <w:rPr>
          <w:color w:val="231F20"/>
          <w:spacing w:val="-1"/>
        </w:rPr>
        <w:t> </w:t>
      </w:r>
      <w:r>
        <w:rPr>
          <w:color w:val="231F20"/>
        </w:rPr>
        <w:t>von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Vacallo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erinnern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nur</w:t>
      </w:r>
      <w:r>
        <w:rPr>
          <w:color w:val="231F20"/>
          <w:spacing w:val="34"/>
        </w:rPr>
        <w:t> </w:t>
      </w:r>
      <w:r>
        <w:rPr>
          <w:color w:val="231F20"/>
        </w:rPr>
        <w:t>die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roten</w:t>
      </w:r>
      <w:r>
        <w:rPr>
          <w:color w:val="231F20"/>
          <w:spacing w:val="34"/>
        </w:rPr>
        <w:t> </w:t>
      </w:r>
      <w:r>
        <w:rPr>
          <w:color w:val="231F20"/>
        </w:rPr>
        <w:t>Mauern.</w:t>
      </w:r>
      <w:r>
        <w:rPr>
          <w:color w:val="231F20"/>
          <w:spacing w:val="23"/>
        </w:rPr>
        <w:t> </w:t>
      </w:r>
      <w:r>
        <w:rPr>
          <w:color w:val="231F20"/>
        </w:rPr>
        <w:t>Auf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deren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Untergeschoss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Wohn-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Büro-</w:t>
      </w:r>
      <w:r>
        <w:rPr>
          <w:color w:val="231F20"/>
          <w:spacing w:val="27"/>
        </w:rPr>
        <w:t> </w:t>
      </w:r>
      <w:r>
        <w:rPr>
          <w:color w:val="231F20"/>
        </w:rPr>
        <w:t>gebäude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«deltaROSSO»</w:t>
      </w:r>
      <w:r>
        <w:rPr>
          <w:color w:val="231F20"/>
          <w:spacing w:val="-3"/>
        </w:rPr>
        <w:t> </w:t>
      </w:r>
      <w:r>
        <w:rPr>
          <w:color w:val="231F20"/>
        </w:rPr>
        <w:t>errichtet.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Ener-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gieversorgung</w:t>
      </w:r>
      <w:r>
        <w:rPr>
          <w:color w:val="231F20"/>
          <w:spacing w:val="26"/>
        </w:rPr>
        <w:t> </w:t>
      </w:r>
      <w:r>
        <w:rPr>
          <w:color w:val="231F20"/>
        </w:rPr>
        <w:t>des</w:t>
      </w:r>
      <w:r>
        <w:rPr>
          <w:color w:val="231F20"/>
          <w:spacing w:val="27"/>
        </w:rPr>
        <w:t> </w:t>
      </w:r>
      <w:r>
        <w:rPr>
          <w:color w:val="231F20"/>
        </w:rPr>
        <w:t>5-stöckigen</w:t>
      </w:r>
      <w:r>
        <w:rPr>
          <w:color w:val="231F20"/>
          <w:spacing w:val="26"/>
        </w:rPr>
        <w:t> </w:t>
      </w:r>
      <w:r>
        <w:rPr>
          <w:color w:val="231F20"/>
        </w:rPr>
        <w:t>Neubaus</w:t>
      </w:r>
      <w:r>
        <w:rPr>
          <w:color w:val="231F20"/>
          <w:spacing w:val="21"/>
        </w:rPr>
        <w:t> </w:t>
      </w:r>
      <w:r>
        <w:rPr>
          <w:color w:val="231F20"/>
        </w:rPr>
        <w:t>mit</w:t>
      </w:r>
      <w:r>
        <w:rPr>
          <w:color w:val="231F20"/>
          <w:spacing w:val="-10"/>
        </w:rPr>
        <w:t> </w:t>
      </w:r>
      <w:r>
        <w:rPr>
          <w:color w:val="231F20"/>
        </w:rPr>
        <w:t>16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Wohnungen</w:t>
      </w:r>
      <w:r>
        <w:rPr>
          <w:color w:val="231F20"/>
          <w:spacing w:val="-10"/>
        </w:rPr>
        <w:t> </w:t>
      </w:r>
      <w:r>
        <w:rPr>
          <w:color w:val="231F20"/>
        </w:rPr>
        <w:t>erfolgt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südlich</w:t>
      </w:r>
      <w:r>
        <w:rPr/>
      </w:r>
    </w:p>
    <w:p>
      <w:pPr>
        <w:pStyle w:val="BodyText"/>
        <w:spacing w:line="230" w:lineRule="exact" w:before="52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1"/>
        </w:rPr>
        <w:t>Seuls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murs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rouges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rappellent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l’ancienne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taverne</w:t>
      </w:r>
      <w:r>
        <w:rPr>
          <w:color w:val="231F20"/>
          <w:spacing w:val="14"/>
        </w:rPr>
        <w:t> </w:t>
      </w:r>
      <w:r>
        <w:rPr>
          <w:color w:val="231F20"/>
        </w:rPr>
        <w:t>du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village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Vacallo</w:t>
      </w:r>
      <w:r>
        <w:rPr>
          <w:color w:val="231F20"/>
          <w:spacing w:val="14"/>
        </w:rPr>
        <w:t> </w:t>
      </w:r>
      <w:r>
        <w:rPr>
          <w:color w:val="231F20"/>
        </w:rPr>
        <w:t>(TI).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L’immeuble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résidentiel</w:t>
      </w:r>
      <w:r>
        <w:rPr>
          <w:color w:val="231F20"/>
          <w:spacing w:val="-3"/>
        </w:rPr>
        <w:t> </w:t>
      </w:r>
      <w:r>
        <w:rPr>
          <w:color w:val="231F20"/>
        </w:rPr>
        <w:t>et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commercial</w:t>
      </w:r>
      <w:r>
        <w:rPr>
          <w:color w:val="231F20"/>
          <w:spacing w:val="-3"/>
        </w:rPr>
        <w:t> </w:t>
      </w:r>
      <w:r>
        <w:rPr>
          <w:rFonts w:ascii="Theinhardt Regular" w:hAnsi="Theinhardt Regular" w:cs="Theinhardt Regular" w:eastAsia="Theinhardt Regular"/>
          <w:i w:val="0"/>
          <w:color w:val="231F20"/>
          <w:spacing w:val="-1"/>
        </w:rPr>
        <w:t>«deltaROSSO»</w:t>
      </w:r>
      <w:r>
        <w:rPr>
          <w:rFonts w:ascii="Theinhardt Regular" w:hAnsi="Theinhardt Regular" w:cs="Theinhardt Regular" w:eastAsia="Theinhardt Regular"/>
          <w:i w:val="0"/>
          <w:color w:val="231F20"/>
          <w:spacing w:val="-3"/>
        </w:rPr>
        <w:t> </w:t>
      </w:r>
      <w:r>
        <w:rPr>
          <w:color w:val="231F20"/>
        </w:rPr>
        <w:t>oc-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cupe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désormais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site.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nouveau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BEP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cinq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étages</w:t>
      </w:r>
      <w:r>
        <w:rPr>
          <w:color w:val="231F20"/>
          <w:spacing w:val="34"/>
        </w:rPr>
        <w:t> </w:t>
      </w:r>
      <w:r>
        <w:rPr>
          <w:color w:val="231F20"/>
        </w:rPr>
        <w:t>et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seize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appartements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33"/>
        </w:rPr>
        <w:t> </w:t>
      </w:r>
      <w:r>
        <w:rPr>
          <w:color w:val="231F20"/>
        </w:rPr>
        <w:t>ali-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menté</w:t>
      </w:r>
      <w:r>
        <w:rPr>
          <w:color w:val="231F20"/>
          <w:spacing w:val="-1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technologie</w:t>
      </w:r>
      <w:r>
        <w:rPr>
          <w:color w:val="231F20"/>
          <w:spacing w:val="-1"/>
        </w:rPr>
        <w:t> solaire,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intégrée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de</w:t>
      </w:r>
      <w:r>
        <w:rPr>
          <w:i w:val="0"/>
        </w:rPr>
      </w:r>
    </w:p>
    <w:p>
      <w:pPr>
        <w:spacing w:before="101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93" w:val="left" w:leader="none"/>
          <w:tab w:pos="1788" w:val="left" w:leader="none"/>
          <w:tab w:pos="2663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91" w:val="left" w:leader="none"/>
          <w:tab w:pos="1788" w:val="left" w:leader="none"/>
          <w:tab w:pos="266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z w:val="14"/>
        </w:rPr>
        <w:t>20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75" w:val="left" w:leader="none"/>
          <w:tab w:pos="1788" w:val="left" w:leader="none"/>
          <w:tab w:pos="2640" w:val="left" w:leader="none"/>
        </w:tabs>
        <w:spacing w:line="207" w:lineRule="auto" w:before="5"/>
        <w:ind w:left="106" w:right="16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4"/>
          <w:sz w:val="14"/>
        </w:rPr>
        <w:t>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</w:r>
      <w:r>
        <w:rPr>
          <w:rFonts w:ascii="Theinhardt Regular"/>
          <w:color w:val="231F20"/>
          <w:w w:val="95"/>
          <w:sz w:val="14"/>
        </w:rPr>
        <w:t>dreifach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0.80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pStyle w:val="Heading1"/>
        <w:spacing w:line="140" w:lineRule="exact"/>
        <w:ind w:right="0"/>
        <w:jc w:val="left"/>
      </w:pPr>
      <w:r>
        <w:rPr>
          <w:color w:val="231F20"/>
          <w:spacing w:val="-1"/>
        </w:rPr>
        <w:t>ausgerichtete</w:t>
      </w:r>
      <w:r>
        <w:rPr>
          <w:color w:val="231F20"/>
          <w:spacing w:val="-4"/>
        </w:rPr>
        <w:t> </w:t>
      </w:r>
      <w:r>
        <w:rPr>
          <w:color w:val="231F20"/>
        </w:rPr>
        <w:t>16.8</w:t>
      </w:r>
      <w:r>
        <w:rPr>
          <w:color w:val="231F20"/>
          <w:spacing w:val="-4"/>
        </w:rPr>
        <w:t> </w:t>
      </w:r>
      <w:r>
        <w:rPr>
          <w:color w:val="231F20"/>
        </w:rPr>
        <w:t>kW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PV-Dachanla-</w:t>
      </w:r>
      <w:r>
        <w:rPr/>
      </w:r>
    </w:p>
    <w:p>
      <w:pPr>
        <w:pStyle w:val="BodyText"/>
        <w:spacing w:line="140" w:lineRule="exact" w:before="9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1"/>
        </w:rPr>
        <w:t>belle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façon</w:t>
      </w:r>
      <w:r>
        <w:rPr>
          <w:color w:val="231F20"/>
        </w:rPr>
        <w:t>  dans  </w:t>
      </w:r>
      <w:r>
        <w:rPr>
          <w:color w:val="231F20"/>
          <w:spacing w:val="-2"/>
        </w:rPr>
        <w:t>l’enveloppe</w:t>
      </w:r>
      <w:r>
        <w:rPr>
          <w:color w:val="231F20"/>
        </w:rPr>
        <w:t>  du  </w:t>
      </w:r>
      <w:r>
        <w:rPr>
          <w:color w:val="231F20"/>
          <w:spacing w:val="-1"/>
        </w:rPr>
        <w:t>bâtiment</w:t>
      </w:r>
      <w:r>
        <w:rPr>
          <w:i w:val="0"/>
        </w:rPr>
      </w:r>
    </w:p>
    <w:p>
      <w:pPr>
        <w:spacing w:line="14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1’651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942" w:val="left" w:leader="none"/>
          <w:tab w:pos="1405" w:val="left" w:leader="none"/>
        </w:tabs>
        <w:spacing w:line="14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4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2" w:space="119"/>
            <w:col w:w="3452" w:space="120"/>
            <w:col w:w="988" w:space="599"/>
            <w:col w:w="1980"/>
          </w:cols>
        </w:sectPr>
      </w:pPr>
    </w:p>
    <w:p>
      <w:pPr>
        <w:pStyle w:val="Heading1"/>
        <w:spacing w:line="230" w:lineRule="exact" w:before="80"/>
        <w:ind w:right="0"/>
        <w:jc w:val="both"/>
      </w:pPr>
      <w:r>
        <w:rPr>
          <w:color w:val="231F20"/>
        </w:rPr>
        <w:t>ge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</w:rPr>
        <w:t>30</w:t>
      </w:r>
      <w:r>
        <w:rPr>
          <w:color w:val="231F20"/>
          <w:spacing w:val="4"/>
        </w:rPr>
        <w:t> </w:t>
      </w:r>
      <w:r>
        <w:rPr>
          <w:color w:val="231F20"/>
        </w:rPr>
        <w:t>kW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PV-Fassadenanla-</w:t>
      </w:r>
      <w:r>
        <w:rPr>
          <w:color w:val="231F20"/>
          <w:spacing w:val="23"/>
        </w:rPr>
        <w:t> </w:t>
      </w:r>
      <w:r>
        <w:rPr>
          <w:color w:val="231F20"/>
        </w:rPr>
        <w:t>ge.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produzieren</w:t>
      </w:r>
      <w:r>
        <w:rPr>
          <w:color w:val="231F20"/>
          <w:spacing w:val="41"/>
        </w:rPr>
        <w:t> </w:t>
      </w:r>
      <w:r>
        <w:rPr>
          <w:color w:val="231F20"/>
        </w:rPr>
        <w:t>sie</w:t>
      </w:r>
      <w:r>
        <w:rPr>
          <w:color w:val="231F20"/>
          <w:spacing w:val="42"/>
        </w:rPr>
        <w:t> </w:t>
      </w:r>
      <w:r>
        <w:rPr>
          <w:color w:val="231F20"/>
        </w:rPr>
        <w:t>45’850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elektrische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Energie.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Minergie-P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zertifizierte</w:t>
      </w:r>
      <w:r>
        <w:rPr>
          <w:color w:val="231F20"/>
          <w:spacing w:val="39"/>
        </w:rPr>
        <w:t> </w:t>
      </w:r>
      <w:r>
        <w:rPr>
          <w:color w:val="231F20"/>
        </w:rPr>
        <w:t>Gebäude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gewinnt</w:t>
      </w:r>
      <w:r>
        <w:rPr>
          <w:color w:val="231F20"/>
          <w:spacing w:val="39"/>
        </w:rPr>
        <w:t> </w:t>
      </w:r>
      <w:r>
        <w:rPr>
          <w:color w:val="231F20"/>
        </w:rPr>
        <w:t>mit</w:t>
      </w:r>
      <w:r>
        <w:rPr>
          <w:color w:val="231F20"/>
          <w:spacing w:val="40"/>
        </w:rPr>
        <w:t> </w:t>
      </w:r>
      <w:r>
        <w:rPr>
          <w:color w:val="231F20"/>
        </w:rPr>
        <w:t>der</w:t>
      </w:r>
      <w:r>
        <w:rPr>
          <w:color w:val="231F20"/>
          <w:spacing w:val="40"/>
        </w:rPr>
        <w:t> </w:t>
      </w:r>
      <w:r>
        <w:rPr>
          <w:color w:val="231F20"/>
        </w:rPr>
        <w:t>auf</w:t>
      </w:r>
      <w:r>
        <w:rPr>
          <w:color w:val="231F20"/>
          <w:spacing w:val="23"/>
        </w:rPr>
        <w:t> </w:t>
      </w:r>
      <w:r>
        <w:rPr>
          <w:color w:val="231F20"/>
        </w:rPr>
        <w:t>dem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Süddach</w:t>
      </w:r>
      <w:r>
        <w:rPr>
          <w:color w:val="231F20"/>
          <w:spacing w:val="26"/>
        </w:rPr>
        <w:t> </w:t>
      </w:r>
      <w:r>
        <w:rPr>
          <w:color w:val="231F20"/>
        </w:rPr>
        <w:t>gut</w:t>
      </w:r>
      <w:r>
        <w:rPr>
          <w:color w:val="231F20"/>
          <w:spacing w:val="26"/>
        </w:rPr>
        <w:t> </w:t>
      </w:r>
      <w:r>
        <w:rPr>
          <w:color w:val="231F20"/>
        </w:rPr>
        <w:t>integrierten</w:t>
      </w:r>
      <w:r>
        <w:rPr>
          <w:color w:val="231F20"/>
          <w:spacing w:val="26"/>
        </w:rPr>
        <w:t> </w:t>
      </w:r>
      <w:r>
        <w:rPr>
          <w:color w:val="231F20"/>
        </w:rPr>
        <w:t>31</w:t>
      </w:r>
      <w:r>
        <w:rPr>
          <w:color w:val="231F20"/>
          <w:spacing w:val="26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1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ssen</w:t>
      </w:r>
      <w:r>
        <w:rPr>
          <w:color w:val="231F20"/>
          <w:spacing w:val="34"/>
        </w:rPr>
        <w:t> </w:t>
      </w:r>
      <w:r>
        <w:rPr>
          <w:color w:val="231F20"/>
        </w:rPr>
        <w:t>solarthermischen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34"/>
        </w:rPr>
        <w:t> </w:t>
      </w:r>
      <w:r>
        <w:rPr>
          <w:color w:val="231F20"/>
        </w:rPr>
        <w:t>ca.</w:t>
      </w:r>
      <w:r>
        <w:rPr>
          <w:color w:val="231F20"/>
          <w:spacing w:val="24"/>
        </w:rPr>
        <w:t> </w:t>
      </w:r>
      <w:r>
        <w:rPr>
          <w:color w:val="231F20"/>
        </w:rPr>
        <w:t>19’800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7"/>
        </w:rPr>
        <w:t> </w:t>
      </w:r>
      <w:r>
        <w:rPr>
          <w:color w:val="231F20"/>
        </w:rPr>
        <w:t>für</w:t>
      </w:r>
      <w:r>
        <w:rPr>
          <w:color w:val="231F20"/>
          <w:spacing w:val="17"/>
        </w:rPr>
        <w:t> </w:t>
      </w:r>
      <w:r>
        <w:rPr>
          <w:color w:val="231F20"/>
        </w:rPr>
        <w:t>den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Warmwasser-</w:t>
      </w:r>
      <w:r>
        <w:rPr>
          <w:color w:val="231F20"/>
          <w:spacing w:val="17"/>
        </w:rPr>
        <w:t> </w:t>
      </w:r>
      <w:r>
        <w:rPr>
          <w:color w:val="231F20"/>
        </w:rPr>
        <w:t>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Heizwär-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mebedarf.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Solaranlagen</w:t>
      </w:r>
      <w:r>
        <w:rPr>
          <w:color w:val="231F20"/>
          <w:spacing w:val="29"/>
        </w:rPr>
        <w:t> </w:t>
      </w:r>
      <w:r>
        <w:rPr>
          <w:color w:val="231F20"/>
        </w:rPr>
        <w:t>erzeugen</w:t>
      </w:r>
      <w:r>
        <w:rPr>
          <w:color w:val="231F20"/>
          <w:spacing w:val="28"/>
        </w:rPr>
        <w:t> </w:t>
      </w:r>
      <w:r>
        <w:rPr>
          <w:color w:val="231F20"/>
        </w:rPr>
        <w:t>ins-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gesamt</w:t>
      </w:r>
      <w:r>
        <w:rPr>
          <w:color w:val="231F20"/>
        </w:rPr>
        <w:t> rund 65’700 </w:t>
      </w:r>
      <w:r>
        <w:rPr>
          <w:color w:val="231F20"/>
          <w:spacing w:val="-2"/>
        </w:rPr>
        <w:t>kWh/a</w:t>
      </w:r>
      <w:r>
        <w:rPr>
          <w:color w:val="231F20"/>
        </w:rPr>
        <w:t> und </w:t>
      </w:r>
      <w:r>
        <w:rPr>
          <w:color w:val="231F20"/>
          <w:spacing w:val="-1"/>
        </w:rPr>
        <w:t>decken</w:t>
      </w:r>
      <w:r>
        <w:rPr>
          <w:color w:val="231F20"/>
          <w:spacing w:val="26"/>
        </w:rPr>
        <w:t> </w:t>
      </w:r>
      <w:r>
        <w:rPr>
          <w:color w:val="231F20"/>
        </w:rPr>
        <w:t>den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7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</w:rPr>
        <w:t>ca.</w:t>
      </w:r>
      <w:r>
        <w:rPr>
          <w:color w:val="231F20"/>
          <w:spacing w:val="16"/>
        </w:rPr>
        <w:t> </w:t>
      </w:r>
      <w:r>
        <w:rPr>
          <w:color w:val="231F20"/>
        </w:rPr>
        <w:t>63’000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6"/>
        </w:rPr>
        <w:t> </w:t>
      </w:r>
      <w:r>
        <w:rPr>
          <w:color w:val="231F20"/>
        </w:rPr>
        <w:t>zu</w:t>
      </w:r>
      <w:r>
        <w:rPr>
          <w:color w:val="231F20"/>
          <w:spacing w:val="27"/>
        </w:rPr>
        <w:t> </w:t>
      </w:r>
      <w:r>
        <w:rPr>
          <w:color w:val="231F20"/>
        </w:rPr>
        <w:t>104%.</w:t>
      </w:r>
      <w:r>
        <w:rPr>
          <w:color w:val="231F20"/>
          <w:spacing w:val="15"/>
        </w:rPr>
        <w:t> </w:t>
      </w:r>
      <w:r>
        <w:rPr>
          <w:color w:val="231F20"/>
        </w:rPr>
        <w:t>Eine</w:t>
      </w:r>
      <w:r>
        <w:rPr>
          <w:color w:val="231F20"/>
          <w:spacing w:val="26"/>
        </w:rPr>
        <w:t> </w:t>
      </w:r>
      <w:r>
        <w:rPr>
          <w:color w:val="231F20"/>
        </w:rPr>
        <w:t>ganzflächige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PV-Dachnutzung</w:t>
      </w:r>
      <w:r>
        <w:rPr>
          <w:color w:val="231F20"/>
          <w:spacing w:val="2"/>
        </w:rPr>
        <w:t> </w:t>
      </w:r>
      <w:r>
        <w:rPr>
          <w:color w:val="231F20"/>
        </w:rPr>
        <w:t>inkl.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Norddach</w:t>
      </w:r>
      <w:r>
        <w:rPr>
          <w:color w:val="231F20"/>
        </w:rPr>
        <w:t> hätte ca.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33’500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generiert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Eigenener-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gieversorgung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20"/>
        </w:rPr>
        <w:t> </w:t>
      </w:r>
      <w:r>
        <w:rPr>
          <w:color w:val="231F20"/>
        </w:rPr>
        <w:t>ca.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15%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119%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ver-</w:t>
      </w:r>
      <w:r>
        <w:rPr>
          <w:color w:val="231F20"/>
          <w:spacing w:val="27"/>
        </w:rPr>
        <w:t> </w:t>
      </w:r>
      <w:r>
        <w:rPr>
          <w:color w:val="231F20"/>
        </w:rPr>
        <w:t>bessert;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24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E-Autos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könnten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je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12’000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km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pro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Jahr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  <w:szCs w:val="10"/>
        </w:rPr>
        <w:t>2</w:t>
      </w:r>
      <w:r>
        <w:rPr>
          <w:color w:val="231F20"/>
          <w:spacing w:val="-2"/>
        </w:rPr>
        <w:t>-frei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fahren.</w:t>
      </w:r>
      <w:r>
        <w:rPr/>
      </w:r>
    </w:p>
    <w:p>
      <w:pPr>
        <w:spacing w:line="230" w:lineRule="exact" w:before="0"/>
        <w:ind w:left="106" w:right="8" w:firstLine="226"/>
        <w:jc w:val="righ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PV-Fassade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erhöht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Winterstrom-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produktion.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verstärkte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Dämmung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mit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U-Werten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von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0.11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oder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darunter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würde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Heizbedarf 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im 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Winter 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deutlich 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reduzieren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Kühlbedarf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im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Sommer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massiv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sen-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ken.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-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hinterlüftete</w:t>
      </w:r>
      <w:r>
        <w:rPr>
          <w:rFonts w:ascii="Theinhardt Regular" w:hAnsi="Theinhardt Regular"/>
          <w:color w:val="231F20"/>
          <w:spacing w:val="-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Glas-Glas</w:t>
      </w:r>
      <w:r>
        <w:rPr>
          <w:rFonts w:ascii="Theinhardt Regular" w:hAnsi="Theinhardt Regular"/>
          <w:color w:val="231F20"/>
          <w:spacing w:val="-2"/>
          <w:sz w:val="18"/>
        </w:rPr>
        <w:t> PV-Fassade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kühlt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Solarmodule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verbessert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PV-Wirkungsgrad.</w:t>
      </w:r>
      <w:r>
        <w:rPr>
          <w:rFonts w:ascii="Theinhardt Regular" w:hAnsi="Theinhardt Regular"/>
          <w:color w:val="231F20"/>
          <w:spacing w:val="-1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Zwei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Wärmepumpen</w:t>
      </w:r>
      <w:r>
        <w:rPr>
          <w:rFonts w:ascii="Theinhardt Regular" w:hAnsi="Theinhardt Regular"/>
          <w:color w:val="231F20"/>
          <w:sz w:val="18"/>
        </w:rPr>
        <w:t> und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kontrollierte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Lüftung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mit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Wärmerückge-</w:t>
      </w:r>
      <w:r>
        <w:rPr>
          <w:rFonts w:ascii="Theinhardt Regular" w:hAnsi="Theinhardt Regular"/>
          <w:color w:val="231F20"/>
          <w:spacing w:val="4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winnung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reduzieren</w:t>
      </w:r>
      <w:r>
        <w:rPr>
          <w:rFonts w:ascii="Theinhardt Regular" w:hAnsi="Theinhardt Regular"/>
          <w:color w:val="231F20"/>
          <w:sz w:val="18"/>
        </w:rPr>
        <w:t> den </w:t>
      </w:r>
      <w:r>
        <w:rPr>
          <w:rFonts w:ascii="Theinhardt Regular" w:hAnsi="Theinhardt Regular"/>
          <w:color w:val="231F20"/>
          <w:spacing w:val="-1"/>
          <w:sz w:val="18"/>
        </w:rPr>
        <w:t>Heizwärmebedarf.</w:t>
      </w:r>
      <w:r>
        <w:rPr>
          <w:rFonts w:ascii="Theinhardt Regular" w:hAnsi="Theinhardt Regular"/>
          <w:color w:val="231F20"/>
          <w:spacing w:val="5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Attikawohnungen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werden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zusätzlich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durch</w:t>
      </w:r>
      <w:r>
        <w:rPr>
          <w:rFonts w:ascii="Theinhardt Regular" w:hAnsi="Theinhardt Regular"/>
          <w:color w:val="231F20"/>
          <w:sz w:val="18"/>
        </w:rPr>
        <w:t>  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dachintegrierte  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Wasserröhren</w:t>
      </w:r>
      <w:r>
        <w:rPr>
          <w:rFonts w:ascii="Theinhardt Regular" w:hAnsi="Theinhardt Regular"/>
          <w:color w:val="231F20"/>
          <w:sz w:val="18"/>
        </w:rPr>
        <w:t>  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vor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Überhitzung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geschützt.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unaufwendige</w:t>
      </w:r>
      <w:r>
        <w:rPr>
          <w:rFonts w:ascii="Theinhardt Regular" w:hAnsi="Theinhardt Regular"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Bauweise 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 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PEB-MFH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sorgt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 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preis-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günstige</w:t>
      </w:r>
      <w:r>
        <w:rPr>
          <w:rFonts w:ascii="Theinhardt Regular" w:hAnsi="Theinhardt Regular"/>
          <w:color w:val="231F20"/>
          <w:spacing w:val="-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Mietzinse.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Sie</w:t>
      </w:r>
      <w:r>
        <w:rPr>
          <w:rFonts w:ascii="Theinhardt Regular" w:hAnsi="Theinhardt Regular"/>
          <w:color w:val="231F20"/>
          <w:spacing w:val="-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sind</w:t>
      </w:r>
      <w:r>
        <w:rPr>
          <w:rFonts w:ascii="Theinhardt Regular" w:hAnsi="Theinhardt Regular"/>
          <w:color w:val="231F20"/>
          <w:spacing w:val="-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rund</w:t>
      </w:r>
      <w:r>
        <w:rPr>
          <w:rFonts w:ascii="Theinhardt Regular" w:hAnsi="Theinhardt Regular"/>
          <w:color w:val="231F20"/>
          <w:spacing w:val="-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5%</w:t>
      </w:r>
      <w:r>
        <w:rPr>
          <w:rFonts w:ascii="Theinhardt Regular" w:hAnsi="Theinhardt Regular"/>
          <w:color w:val="231F20"/>
          <w:spacing w:val="-1"/>
          <w:sz w:val="18"/>
        </w:rPr>
        <w:t> güns-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tiger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im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Vergleich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zu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ähnlichen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Wohnungen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im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Quartier.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PlusEnergie-MFH</w:t>
      </w:r>
      <w:r>
        <w:rPr>
          <w:rFonts w:ascii="Theinhardt Regular" w:hAnsi="Theinhardt Regular"/>
          <w:color w:val="231F20"/>
          <w:spacing w:val="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verdient</w:t>
      </w:r>
      <w:r>
        <w:rPr>
          <w:rFonts w:ascii="Theinhardt Regular" w:hAnsi="Theinhardt Regular"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 </w:t>
      </w:r>
      <w:r>
        <w:rPr>
          <w:rFonts w:ascii="Theinhardt Regular" w:hAnsi="Theinhardt Regular"/>
          <w:color w:val="231F20"/>
          <w:spacing w:val="-1"/>
          <w:sz w:val="18"/>
        </w:rPr>
        <w:t>Migros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Bank-Sondersolarpreis</w:t>
      </w:r>
      <w:r>
        <w:rPr>
          <w:rFonts w:ascii="Theinhardt Regular" w:hAnsi="Theinhardt Regular"/>
          <w:color w:val="231F20"/>
          <w:sz w:val="18"/>
        </w:rPr>
        <w:t> für </w:t>
      </w:r>
      <w:r>
        <w:rPr>
          <w:rFonts w:ascii="Theinhardt Regular" w:hAnsi="Theinhardt Regular"/>
          <w:color w:val="231F20"/>
          <w:spacing w:val="-2"/>
          <w:sz w:val="18"/>
        </w:rPr>
        <w:t>PEB-</w:t>
      </w:r>
      <w:r>
        <w:rPr>
          <w:rFonts w:ascii="Theinhardt Regular" w:hAnsi="Theinhardt Regular"/>
          <w:sz w:val="18"/>
        </w:rPr>
      </w:r>
    </w:p>
    <w:p>
      <w:pPr>
        <w:spacing w:before="9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color w:val="231F20"/>
          <w:sz w:val="18"/>
        </w:rPr>
        <w:t>MFH 2019.</w:t>
      </w:r>
      <w:r>
        <w:rPr>
          <w:rFonts w:ascii="Theinhardt Regular"/>
          <w:sz w:val="18"/>
        </w:rPr>
      </w:r>
    </w:p>
    <w:p>
      <w:pPr>
        <w:pStyle w:val="BodyText"/>
        <w:spacing w:line="230" w:lineRule="exact" w:before="80"/>
        <w:ind w:right="6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d’un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noir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mat.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Orientée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plein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sud,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l’installation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PV,</w:t>
      </w:r>
      <w:r>
        <w:rPr>
          <w:color w:val="231F20"/>
          <w:spacing w:val="-16"/>
        </w:rPr>
        <w:t> </w:t>
      </w:r>
      <w:r>
        <w:rPr>
          <w:color w:val="231F20"/>
        </w:rPr>
        <w:t>qui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s’étend</w:t>
      </w:r>
      <w:r>
        <w:rPr>
          <w:color w:val="231F20"/>
          <w:spacing w:val="-9"/>
        </w:rPr>
        <w:t> </w:t>
      </w:r>
      <w:r>
        <w:rPr>
          <w:color w:val="231F20"/>
        </w:rPr>
        <w:t>sur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façade</w:t>
      </w:r>
      <w:r>
        <w:rPr>
          <w:color w:val="231F20"/>
          <w:spacing w:val="-9"/>
        </w:rPr>
        <w:t> </w:t>
      </w:r>
      <w:r>
        <w:rPr>
          <w:color w:val="231F20"/>
        </w:rPr>
        <w:t>(30</w:t>
      </w:r>
      <w:r>
        <w:rPr>
          <w:color w:val="231F20"/>
          <w:spacing w:val="-9"/>
        </w:rPr>
        <w:t> </w:t>
      </w:r>
      <w:r>
        <w:rPr>
          <w:color w:val="231F20"/>
        </w:rPr>
        <w:t>kW)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toit</w:t>
      </w:r>
      <w:r>
        <w:rPr>
          <w:color w:val="231F20"/>
          <w:spacing w:val="23"/>
        </w:rPr>
        <w:t> </w:t>
      </w:r>
      <w:r>
        <w:rPr>
          <w:color w:val="231F20"/>
        </w:rPr>
        <w:t>(16.8</w:t>
      </w:r>
      <w:r>
        <w:rPr>
          <w:color w:val="231F20"/>
          <w:spacing w:val="23"/>
        </w:rPr>
        <w:t> </w:t>
      </w:r>
      <w:r>
        <w:rPr>
          <w:color w:val="231F20"/>
        </w:rPr>
        <w:t>kW),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produit</w:t>
      </w:r>
      <w:r>
        <w:rPr>
          <w:color w:val="231F20"/>
          <w:spacing w:val="23"/>
        </w:rPr>
        <w:t> </w:t>
      </w:r>
      <w:r>
        <w:rPr>
          <w:color w:val="231F20"/>
        </w:rPr>
        <w:t>45’850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23"/>
        </w:rPr>
        <w:t> </w:t>
      </w:r>
      <w:r>
        <w:rPr>
          <w:color w:val="231F20"/>
        </w:rPr>
        <w:t>bâti-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Minergie-P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8"/>
        </w:rPr>
        <w:t> </w:t>
      </w:r>
      <w:r>
        <w:rPr>
          <w:color w:val="231F20"/>
        </w:rPr>
        <w:t>aussi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doté</w:t>
      </w:r>
      <w:r>
        <w:rPr>
          <w:color w:val="231F20"/>
          <w:spacing w:val="-8"/>
        </w:rPr>
        <w:t> </w:t>
      </w:r>
      <w:r>
        <w:rPr>
          <w:color w:val="231F20"/>
        </w:rPr>
        <w:t>d’un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système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thermique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31</w:t>
      </w:r>
      <w:r>
        <w:rPr>
          <w:color w:val="231F20"/>
          <w:spacing w:val="-9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1"/>
          <w:position w:val="6"/>
          <w:sz w:val="10"/>
          <w:szCs w:val="10"/>
        </w:rPr>
        <w:t> </w:t>
      </w:r>
      <w:r>
        <w:rPr>
          <w:color w:val="231F20"/>
        </w:rPr>
        <w:t>sur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versant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sud</w:t>
      </w:r>
      <w:r>
        <w:rPr>
          <w:color w:val="231F20"/>
          <w:spacing w:val="31"/>
        </w:rPr>
        <w:t> </w:t>
      </w:r>
      <w:r>
        <w:rPr>
          <w:color w:val="231F20"/>
        </w:rPr>
        <w:t>du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toit</w:t>
      </w:r>
      <w:r>
        <w:rPr>
          <w:color w:val="231F20"/>
          <w:spacing w:val="6"/>
        </w:rPr>
        <w:t> </w:t>
      </w:r>
      <w:r>
        <w:rPr>
          <w:color w:val="231F20"/>
        </w:rPr>
        <w:t>qui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génère</w:t>
      </w:r>
      <w:r>
        <w:rPr>
          <w:color w:val="231F20"/>
          <w:spacing w:val="6"/>
        </w:rPr>
        <w:t> </w:t>
      </w:r>
      <w:r>
        <w:rPr>
          <w:color w:val="231F20"/>
        </w:rPr>
        <w:t>19’800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6"/>
        </w:rPr>
        <w:t> </w:t>
      </w:r>
      <w:r>
        <w:rPr>
          <w:color w:val="231F20"/>
        </w:rPr>
        <w:t>pour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l’eau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chaude</w:t>
      </w:r>
      <w:r>
        <w:rPr>
          <w:color w:val="231F20"/>
          <w:spacing w:val="24"/>
        </w:rPr>
        <w:t> </w:t>
      </w:r>
      <w:r>
        <w:rPr>
          <w:color w:val="231F20"/>
        </w:rPr>
        <w:t>et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24"/>
        </w:rPr>
        <w:t> </w:t>
      </w:r>
      <w:r>
        <w:rPr>
          <w:color w:val="231F20"/>
        </w:rPr>
        <w:t>chauffage.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L’infrastructure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laire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livre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tout</w:t>
      </w:r>
      <w:r>
        <w:rPr>
          <w:color w:val="231F20"/>
          <w:spacing w:val="26"/>
        </w:rPr>
        <w:t> </w:t>
      </w:r>
      <w:r>
        <w:rPr>
          <w:color w:val="231F20"/>
        </w:rPr>
        <w:t>65’700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25"/>
        </w:rPr>
        <w:t> </w:t>
      </w:r>
      <w:r>
        <w:rPr>
          <w:color w:val="231F20"/>
        </w:rPr>
        <w:t>et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couvre</w:t>
      </w:r>
      <w:r>
        <w:rPr>
          <w:color w:val="231F20"/>
          <w:spacing w:val="23"/>
        </w:rPr>
        <w:t> </w:t>
      </w:r>
      <w:r>
        <w:rPr>
          <w:color w:val="231F20"/>
        </w:rPr>
        <w:t>ainsi</w:t>
      </w:r>
      <w:r>
        <w:rPr>
          <w:color w:val="231F20"/>
          <w:spacing w:val="1"/>
        </w:rPr>
        <w:t> </w:t>
      </w:r>
      <w:r>
        <w:rPr>
          <w:color w:val="231F20"/>
        </w:rPr>
        <w:t>104%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besoins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énergétiques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63’000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BEP.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L’utilisation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fins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solaires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toute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surface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toit,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incluant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côté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nord,</w:t>
      </w:r>
      <w:r>
        <w:rPr>
          <w:color w:val="231F20"/>
          <w:spacing w:val="1"/>
        </w:rPr>
        <w:t> </w:t>
      </w:r>
      <w:r>
        <w:rPr>
          <w:color w:val="231F20"/>
        </w:rPr>
        <w:t>aurait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fourni</w:t>
      </w:r>
      <w:r>
        <w:rPr>
          <w:color w:val="231F20"/>
          <w:spacing w:val="8"/>
        </w:rPr>
        <w:t> </w:t>
      </w:r>
      <w:r>
        <w:rPr>
          <w:color w:val="231F20"/>
        </w:rPr>
        <w:t>33’500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kWh/a,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aug-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mentant</w:t>
      </w:r>
      <w:r>
        <w:rPr>
          <w:color w:val="231F20"/>
          <w:spacing w:val="11"/>
        </w:rPr>
        <w:t> </w:t>
      </w:r>
      <w:r>
        <w:rPr>
          <w:color w:val="231F20"/>
        </w:rPr>
        <w:t>ainsi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l’autoproduction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d’environ</w:t>
      </w:r>
      <w:r>
        <w:rPr>
          <w:color w:val="231F20"/>
          <w:spacing w:val="25"/>
        </w:rPr>
        <w:t> </w:t>
      </w:r>
      <w:r>
        <w:rPr>
          <w:color w:val="231F20"/>
        </w:rPr>
        <w:t>15%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3"/>
        </w:rPr>
        <w:t> </w:t>
      </w:r>
      <w:r>
        <w:rPr>
          <w:color w:val="231F20"/>
        </w:rPr>
        <w:t>119%.</w:t>
      </w:r>
      <w:r>
        <w:rPr>
          <w:color w:val="231F20"/>
          <w:spacing w:val="-5"/>
        </w:rPr>
        <w:t> </w:t>
      </w:r>
      <w:r>
        <w:rPr>
          <w:color w:val="231F20"/>
        </w:rPr>
        <w:t>Cela</w:t>
      </w:r>
      <w:r>
        <w:rPr>
          <w:color w:val="231F20"/>
          <w:spacing w:val="3"/>
        </w:rPr>
        <w:t> </w:t>
      </w:r>
      <w:r>
        <w:rPr>
          <w:color w:val="231F20"/>
        </w:rPr>
        <w:t>aurait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permis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véhi-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cules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électriques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parcourir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chacun</w:t>
      </w:r>
      <w:r>
        <w:rPr>
          <w:color w:val="231F20"/>
          <w:spacing w:val="-19"/>
        </w:rPr>
        <w:t> </w:t>
      </w:r>
      <w:r>
        <w:rPr>
          <w:color w:val="231F20"/>
        </w:rPr>
        <w:t>12’000</w:t>
      </w:r>
      <w:r>
        <w:rPr>
          <w:color w:val="231F20"/>
          <w:spacing w:val="31"/>
        </w:rPr>
        <w:t> </w:t>
      </w:r>
      <w:r>
        <w:rPr>
          <w:color w:val="231F20"/>
          <w:spacing w:val="-5"/>
        </w:rPr>
        <w:t>km/a</w:t>
      </w:r>
      <w:r>
        <w:rPr>
          <w:color w:val="231F20"/>
        </w:rPr>
        <w:t> sans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émettre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.</w:t>
      </w:r>
      <w:r>
        <w:rPr>
          <w:i w:val="0"/>
        </w:rPr>
      </w:r>
    </w:p>
    <w:p>
      <w:pPr>
        <w:pStyle w:val="BodyText"/>
        <w:spacing w:line="230" w:lineRule="exact"/>
        <w:ind w:right="0" w:firstLine="340"/>
        <w:jc w:val="both"/>
        <w:rPr>
          <w:i w:val="0"/>
        </w:rPr>
      </w:pPr>
      <w:r>
        <w:rPr>
          <w:color w:val="231F20"/>
          <w:spacing w:val="-2"/>
        </w:rPr>
        <w:t>La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façade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accroît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production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courant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hiver.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isolation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renforcée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avec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valeurs</w:t>
      </w:r>
      <w:r>
        <w:rPr>
          <w:color w:val="231F20"/>
          <w:spacing w:val="-14"/>
        </w:rPr>
        <w:t> </w:t>
      </w:r>
      <w:r>
        <w:rPr>
          <w:color w:val="231F20"/>
        </w:rPr>
        <w:t>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inférieures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égales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0,11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W/</w:t>
      </w:r>
      <w:r>
        <w:rPr>
          <w:color w:val="231F20"/>
          <w:spacing w:val="25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réduirait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grandement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besoins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chauffage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hiver</w:t>
      </w:r>
      <w:r>
        <w:rPr>
          <w:color w:val="231F20"/>
          <w:spacing w:val="11"/>
        </w:rPr>
        <w:t> </w:t>
      </w:r>
      <w:r>
        <w:rPr>
          <w:color w:val="231F20"/>
        </w:rPr>
        <w:t>et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refroidissement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été.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verre</w:t>
      </w:r>
      <w:r>
        <w:rPr>
          <w:color w:val="231F20"/>
          <w:spacing w:val="29"/>
        </w:rPr>
        <w:t> </w:t>
      </w:r>
      <w:r>
        <w:rPr>
          <w:color w:val="231F20"/>
        </w:rPr>
        <w:t>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ventilée,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elle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maintient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modules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solaires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au</w:t>
      </w:r>
      <w:r>
        <w:rPr>
          <w:color w:val="231F20"/>
          <w:spacing w:val="-4"/>
        </w:rPr>
        <w:t> </w:t>
      </w:r>
      <w:r>
        <w:rPr>
          <w:color w:val="231F20"/>
        </w:rPr>
        <w:t>frais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assure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rende-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constant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élevé.</w:t>
      </w:r>
      <w:r>
        <w:rPr>
          <w:color w:val="231F20"/>
          <w:spacing w:val="-18"/>
        </w:rPr>
        <w:t> </w:t>
      </w:r>
      <w:r>
        <w:rPr>
          <w:color w:val="231F20"/>
        </w:rPr>
        <w:t>Deux</w:t>
      </w:r>
      <w:r>
        <w:rPr>
          <w:color w:val="231F20"/>
          <w:spacing w:val="-11"/>
        </w:rPr>
        <w:t> </w:t>
      </w:r>
      <w:r>
        <w:rPr>
          <w:color w:val="231F20"/>
        </w:rPr>
        <w:t>pompes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chaleur,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ventilation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contrôlée</w:t>
      </w:r>
      <w:r>
        <w:rPr>
          <w:color w:val="231F20"/>
          <w:spacing w:val="27"/>
        </w:rPr>
        <w:t> </w:t>
      </w:r>
      <w:r>
        <w:rPr>
          <w:color w:val="231F20"/>
        </w:rPr>
        <w:t>et</w:t>
      </w:r>
      <w:r>
        <w:rPr>
          <w:color w:val="231F20"/>
          <w:spacing w:val="28"/>
        </w:rPr>
        <w:t> </w:t>
      </w:r>
      <w:r>
        <w:rPr>
          <w:color w:val="231F20"/>
        </w:rPr>
        <w:t>un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système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récupération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chaleur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limitent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4"/>
        </w:rPr>
        <w:t> </w:t>
      </w:r>
      <w:r>
        <w:rPr>
          <w:color w:val="231F20"/>
        </w:rPr>
        <w:t>be-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soins</w:t>
      </w:r>
      <w:r>
        <w:rPr>
          <w:color w:val="231F20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chauffage </w:t>
      </w:r>
      <w:r>
        <w:rPr>
          <w:color w:val="231F20"/>
          <w:spacing w:val="-3"/>
        </w:rPr>
        <w:t>l’hiver.</w:t>
      </w:r>
      <w:r>
        <w:rPr>
          <w:i w:val="0"/>
        </w:rPr>
      </w:r>
    </w:p>
    <w:p>
      <w:pPr>
        <w:pStyle w:val="BodyText"/>
        <w:spacing w:line="230" w:lineRule="exact"/>
        <w:ind w:right="4" w:firstLine="226"/>
        <w:jc w:val="both"/>
        <w:rPr>
          <w:i w:val="0"/>
        </w:rPr>
      </w:pPr>
      <w:r>
        <w:rPr>
          <w:color w:val="231F20"/>
          <w:spacing w:val="1"/>
        </w:rPr>
        <w:t>Des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conduites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d’eau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intégrées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toiture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protègent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outre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appartements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at-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tique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contre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surchauffe.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maîtrise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coûts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permet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proposer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loyers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abordables.</w:t>
      </w:r>
      <w:r>
        <w:rPr>
          <w:color w:val="231F20"/>
          <w:spacing w:val="18"/>
        </w:rPr>
        <w:t> </w:t>
      </w:r>
      <w:r>
        <w:rPr>
          <w:color w:val="231F20"/>
        </w:rPr>
        <w:t>Ils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sont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environ</w:t>
      </w:r>
      <w:r>
        <w:rPr>
          <w:color w:val="231F20"/>
          <w:spacing w:val="25"/>
        </w:rPr>
        <w:t> </w:t>
      </w:r>
      <w:r>
        <w:rPr>
          <w:color w:val="231F20"/>
        </w:rPr>
        <w:t>5%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inférieurs</w:t>
      </w:r>
      <w:r>
        <w:rPr>
          <w:color w:val="231F20"/>
          <w:spacing w:val="39"/>
        </w:rPr>
        <w:t> </w:t>
      </w:r>
      <w:r>
        <w:rPr>
          <w:color w:val="231F20"/>
        </w:rPr>
        <w:t>à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ceux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logements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similaires</w:t>
      </w:r>
      <w:r>
        <w:rPr>
          <w:color w:val="231F20"/>
          <w:spacing w:val="31"/>
        </w:rPr>
        <w:t> </w:t>
      </w:r>
      <w:r>
        <w:rPr>
          <w:color w:val="231F20"/>
        </w:rPr>
        <w:t>dans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quartier.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bâtiment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reçoit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28"/>
        </w:rPr>
        <w:t> </w:t>
      </w:r>
      <w:r>
        <w:rPr>
          <w:color w:val="231F20"/>
        </w:rPr>
        <w:t>Prix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Spécial</w:t>
      </w:r>
      <w:r>
        <w:rPr>
          <w:color w:val="231F20"/>
          <w:spacing w:val="25"/>
        </w:rPr>
        <w:t> </w:t>
      </w:r>
      <w:r>
        <w:rPr>
          <w:color w:val="231F20"/>
        </w:rPr>
        <w:t>2019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Banque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Migros</w:t>
      </w:r>
      <w:r>
        <w:rPr>
          <w:color w:val="231F20"/>
          <w:spacing w:val="27"/>
        </w:rPr>
        <w:t> </w:t>
      </w:r>
      <w:r>
        <w:rPr>
          <w:color w:val="231F20"/>
        </w:rPr>
        <w:t>pour </w:t>
      </w:r>
      <w:r>
        <w:rPr>
          <w:color w:val="231F20"/>
          <w:spacing w:val="-1"/>
        </w:rPr>
        <w:t>immeubles</w:t>
      </w:r>
      <w:r>
        <w:rPr>
          <w:color w:val="231F20"/>
        </w:rPr>
        <w:t> </w:t>
      </w:r>
      <w:r>
        <w:rPr>
          <w:color w:val="231F20"/>
          <w:spacing w:val="-8"/>
        </w:rPr>
        <w:t>BEP.</w:t>
      </w:r>
      <w:r>
        <w:rPr>
          <w:i w:val="0"/>
        </w:rPr>
      </w:r>
    </w:p>
    <w:p>
      <w:pPr>
        <w:tabs>
          <w:tab w:pos="2056" w:val="left" w:leader="none"/>
          <w:tab w:pos="2957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6.8  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17.8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11’200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70" w:val="left" w:leader="none"/>
          <w:tab w:pos="301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5.1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13.5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8’500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58" w:val="left" w:leader="none"/>
          <w:tab w:pos="302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&amp;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Lüftung: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5.9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15.4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9’700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74" w:val="left" w:leader="none"/>
          <w:tab w:pos="293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20.4 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53.3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33’600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61" w:val="left" w:leader="none"/>
          <w:tab w:pos="2926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  <w:t>38.2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63’000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4"/>
          <w:szCs w:val="4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616"/>
        <w:gridCol w:w="506"/>
        <w:gridCol w:w="459"/>
        <w:gridCol w:w="656"/>
      </w:tblGrid>
      <w:tr>
        <w:trPr>
          <w:trHeight w:val="250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3" w:val="left" w:leader="none"/>
              </w:tabs>
              <w:spacing w:line="8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w w:val="95"/>
                <w:sz w:val="14"/>
              </w:rPr>
              <w:t>Eigen-EV:</w:t>
              <w:tab/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SK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0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30.68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kWp </w:t>
            </w:r>
            <w:r>
              <w:rPr>
                <w:rFonts w:ascii="Theinhardt Regular"/>
                <w:color w:val="231F20"/>
                <w:spacing w:val="37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6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645.4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161" w:right="0" w:firstLine="32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1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31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147" w:right="0" w:firstLine="4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1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19’800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z w:val="14"/>
              </w:rPr>
              <w:t>   </w:t>
            </w:r>
            <w:r>
              <w:rPr>
                <w:rFonts w:ascii="Theinhardt Regular"/>
                <w:color w:val="231F20"/>
                <w:spacing w:val="-4"/>
                <w:sz w:val="14"/>
              </w:rPr>
              <w:t>109.1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16.8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197.5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21’550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Fass: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12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194.2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8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29.9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8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125.1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24’300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8" w:hRule="exact"/>
        </w:trPr>
        <w:tc>
          <w:tcPr>
            <w:tcW w:w="1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7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3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65’650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1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28" w:val="right" w:leader="none"/>
              </w:tabs>
              <w:spacing w:line="240" w:lineRule="auto" w:before="7"/>
              <w:ind w:left="55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/>
                <w:i/>
                <w:color w:val="231F20"/>
                <w:spacing w:val="2"/>
                <w:sz w:val="14"/>
              </w:rPr>
              <w:t>Potential*:</w:t>
            </w:r>
            <w:r>
              <w:rPr>
                <w:rFonts w:ascii="Theinhardt Regular Italic"/>
                <w:i/>
                <w:color w:val="231F20"/>
                <w:sz w:val="14"/>
              </w:rPr>
              <w:t>  </w:t>
            </w:r>
            <w:r>
              <w:rPr>
                <w:rFonts w:ascii="Theinhardt Regular Italic"/>
                <w:i/>
                <w:color w:val="231F20"/>
                <w:spacing w:val="22"/>
                <w:sz w:val="14"/>
              </w:rPr>
              <w:t> </w:t>
            </w:r>
            <w:r>
              <w:rPr>
                <w:rFonts w:ascii="Theinhardt Regular Italic"/>
                <w:i/>
                <w:color w:val="231F20"/>
                <w:sz w:val="14"/>
              </w:rPr>
              <w:t>388</w:t>
              <w:tab/>
            </w:r>
            <w:r>
              <w:rPr>
                <w:rFonts w:ascii="Theinhardt Regular Italic"/>
                <w:i/>
                <w:color w:val="231F20"/>
                <w:spacing w:val="-1"/>
                <w:sz w:val="14"/>
              </w:rPr>
              <w:t>55</w:t>
            </w:r>
            <w:r>
              <w:rPr>
                <w:rFonts w:ascii="Theinhardt Regular Italic"/>
                <w:sz w:val="14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4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/>
                <w:i/>
                <w:color w:val="231F20"/>
                <w:spacing w:val="-1"/>
                <w:sz w:val="14"/>
              </w:rPr>
              <w:t>86.3</w:t>
            </w:r>
            <w:r>
              <w:rPr>
                <w:rFonts w:ascii="Theinhardt Regular Italic"/>
                <w:sz w:val="14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6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/>
                <w:i/>
                <w:color w:val="231F20"/>
                <w:sz w:val="14"/>
              </w:rPr>
              <w:t>53</w:t>
            </w:r>
            <w:r>
              <w:rPr>
                <w:rFonts w:ascii="Theinhardt Regular Italic"/>
                <w:sz w:val="14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 w:hAnsi="Theinhardt Regular Italic" w:cs="Theinhardt Regular Italic" w:eastAsia="Theinhardt Regular Italic"/>
                <w:i/>
                <w:color w:val="231F20"/>
                <w:spacing w:val="-1"/>
                <w:sz w:val="14"/>
                <w:szCs w:val="14"/>
              </w:rPr>
              <w:t>33’500</w:t>
            </w:r>
            <w:r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r>
          </w:p>
        </w:tc>
      </w:tr>
    </w:tbl>
    <w:p>
      <w:pPr>
        <w:tabs>
          <w:tab w:pos="2529" w:val="left" w:leader="none"/>
          <w:tab w:pos="2992" w:val="left" w:leader="none"/>
        </w:tabs>
        <w:spacing w:line="172" w:lineRule="exact" w:before="1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09" w:val="left" w:leader="none"/>
          <w:tab w:pos="2931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104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65’650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0" w:val="left" w:leader="none"/>
          <w:tab w:pos="293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63’000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75" w:val="left" w:leader="none"/>
          <w:tab w:pos="301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4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2’650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6" w:right="0" w:firstLine="0"/>
        <w:jc w:val="left"/>
        <w:rPr>
          <w:rFonts w:ascii="Theinhardt Regular Italic" w:hAnsi="Theinhardt Regular Italic" w:cs="Theinhardt Regular Italic" w:eastAsia="Theinhardt Regular Italic"/>
          <w:sz w:val="14"/>
          <w:szCs w:val="14"/>
        </w:rPr>
      </w:pPr>
      <w:r>
        <w:rPr>
          <w:rFonts w:ascii="Theinhardt Regular Italic" w:hAnsi="Theinhardt Regular Italic"/>
          <w:i/>
          <w:color w:val="231F20"/>
          <w:spacing w:val="1"/>
          <w:sz w:val="14"/>
        </w:rPr>
        <w:t>*PV-Potential</w:t>
      </w:r>
      <w:r>
        <w:rPr>
          <w:rFonts w:ascii="Theinhardt Regular Italic" w:hAnsi="Theinhardt Regular Italic"/>
          <w:i/>
          <w:color w:val="231F2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2"/>
          <w:sz w:val="14"/>
        </w:rPr>
        <w:t>Dachfläche</w:t>
      </w:r>
      <w:r>
        <w:rPr>
          <w:rFonts w:ascii="Theinhardt Regular Italic" w:hAnsi="Theinhardt Regular Italic"/>
          <w:sz w:val="14"/>
        </w:rPr>
      </w:r>
    </w:p>
    <w:p>
      <w:pPr>
        <w:spacing w:line="160" w:lineRule="exact" w:before="39"/>
        <w:ind w:left="106" w:right="6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AGE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SA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19.06.2019</w:t>
      </w:r>
      <w:r>
        <w:rPr>
          <w:rFonts w:ascii="Theinhardt Regular" w:hAnsi="Theinhardt Regular"/>
          <w:color w:val="231F20"/>
          <w:spacing w:val="1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Corrado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Noseda,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0840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223</w:t>
      </w:r>
      <w:r>
        <w:rPr>
          <w:rFonts w:ascii="Theinhardt Regular" w:hAnsi="Theinhardt Regular"/>
          <w:color w:val="231F20"/>
          <w:sz w:val="14"/>
        </w:rPr>
        <w:t> 333</w:t>
      </w:r>
      <w:r>
        <w:rPr>
          <w:rFonts w:ascii="Theinhardt Regular" w:hAnsi="Theinhardt Regular"/>
          <w:sz w:val="14"/>
        </w:rPr>
      </w:r>
    </w:p>
    <w:p>
      <w:pPr>
        <w:spacing w:before="105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6" w:right="1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Stefano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Angelis</w:t>
      </w:r>
      <w:r>
        <w:rPr>
          <w:rFonts w:ascii="Theinhardt Regular"/>
          <w:color w:val="231F20"/>
          <w:sz w:val="14"/>
        </w:rPr>
        <w:t> + </w:t>
      </w:r>
      <w:r>
        <w:rPr>
          <w:rFonts w:ascii="Theinhardt Regular"/>
          <w:color w:val="231F20"/>
          <w:spacing w:val="1"/>
          <w:sz w:val="14"/>
        </w:rPr>
        <w:t>Maria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Mazza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Zorzi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6900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Paradiso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91</w:t>
      </w:r>
      <w:r>
        <w:rPr>
          <w:rFonts w:ascii="Theinhardt Regular"/>
          <w:color w:val="231F20"/>
          <w:sz w:val="14"/>
        </w:rPr>
        <w:t> 994 77 </w:t>
      </w:r>
      <w:r>
        <w:rPr>
          <w:rFonts w:ascii="Theinhardt Regular"/>
          <w:color w:val="231F20"/>
          <w:spacing w:val="-1"/>
          <w:sz w:val="14"/>
        </w:rPr>
        <w:t>55</w:t>
      </w:r>
      <w:hyperlink r:id="rId6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deangelis@deltazero.com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6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Architektur,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Planung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Realisation</w:t>
      </w:r>
      <w:r>
        <w:rPr>
          <w:rFonts w:ascii="Theinhardt Bold"/>
          <w:b/>
          <w:color w:val="231F20"/>
          <w:spacing w:val="31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deltaZERO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(deAngelis-Mazza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Architekten)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Zorzi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6900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Paradiso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991</w:t>
      </w:r>
      <w:r>
        <w:rPr>
          <w:rFonts w:ascii="Theinhardt Regular"/>
          <w:color w:val="231F20"/>
          <w:sz w:val="14"/>
        </w:rPr>
        <w:t> 77 </w:t>
      </w:r>
      <w:r>
        <w:rPr>
          <w:rFonts w:ascii="Theinhardt Regular"/>
          <w:color w:val="231F20"/>
          <w:spacing w:val="-1"/>
          <w:sz w:val="14"/>
        </w:rPr>
        <w:t>55</w:t>
      </w:r>
      <w:hyperlink r:id="rId7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dz@deltazero.com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HKL</w:t>
      </w:r>
      <w:r>
        <w:rPr>
          <w:rFonts w:ascii="Theinhardt Bold"/>
          <w:b/>
          <w:color w:val="231F20"/>
          <w:sz w:val="14"/>
        </w:rPr>
        <w:t> / </w:t>
      </w:r>
      <w:r>
        <w:rPr>
          <w:rFonts w:ascii="Theinhardt Bold"/>
          <w:b/>
          <w:color w:val="231F20"/>
          <w:spacing w:val="1"/>
          <w:sz w:val="14"/>
        </w:rPr>
        <w:t>Energie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Management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TermoConsult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6" w:right="120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Ugo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Foscolo</w:t>
      </w:r>
      <w:r>
        <w:rPr>
          <w:rFonts w:ascii="Theinhardt Regular"/>
          <w:color w:val="231F20"/>
          <w:sz w:val="14"/>
        </w:rPr>
        <w:t> 2, </w:t>
      </w:r>
      <w:r>
        <w:rPr>
          <w:rFonts w:ascii="Theinhardt Regular"/>
          <w:color w:val="231F20"/>
          <w:spacing w:val="2"/>
          <w:sz w:val="14"/>
        </w:rPr>
        <w:t>Sesto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Calende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(I)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+39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0331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923</w:t>
      </w:r>
      <w:r>
        <w:rPr>
          <w:rFonts w:ascii="Theinhardt Regular"/>
          <w:color w:val="231F20"/>
          <w:sz w:val="14"/>
        </w:rPr>
        <w:t> 026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color w:val="231F20"/>
            <w:spacing w:val="2"/>
            <w:sz w:val="14"/>
          </w:rPr>
          <w:t>roberto.fusetti@termoconsult.info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GreenKey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Sagl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Ceresio</w:t>
      </w:r>
      <w:r>
        <w:rPr>
          <w:rFonts w:ascii="Theinhardt Regular"/>
          <w:color w:val="231F20"/>
          <w:sz w:val="14"/>
        </w:rPr>
        <w:t> 45, 6963 </w:t>
      </w:r>
      <w:r>
        <w:rPr>
          <w:rFonts w:ascii="Theinhardt Regular"/>
          <w:color w:val="231F20"/>
          <w:spacing w:val="2"/>
          <w:sz w:val="14"/>
        </w:rPr>
        <w:t>Pregassona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91</w:t>
      </w:r>
      <w:r>
        <w:rPr>
          <w:rFonts w:ascii="Theinhardt Regular"/>
          <w:color w:val="231F20"/>
          <w:sz w:val="14"/>
        </w:rPr>
        <w:t> 630 </w:t>
      </w:r>
      <w:r>
        <w:rPr>
          <w:rFonts w:ascii="Theinhardt Regular"/>
          <w:color w:val="231F20"/>
          <w:spacing w:val="1"/>
          <w:sz w:val="14"/>
        </w:rPr>
        <w:t>64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91</w:t>
      </w:r>
      <w:hyperlink r:id="rId9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wegreenkey@greenkey.ch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17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D</w:t>
      </w:r>
      <w:r>
        <w:rPr>
          <w:rFonts w:ascii="Theinhardt Bold"/>
          <w:b/>
          <w:color w:val="231F20"/>
          <w:spacing w:val="2"/>
          <w:sz w:val="14"/>
        </w:rPr>
        <w:t>a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z w:val="14"/>
        </w:rPr>
        <w:t>h </w:t>
      </w:r>
      <w:r>
        <w:rPr>
          <w:rFonts w:ascii="Theinhardt Bold"/>
          <w:b/>
          <w:color w:val="231F20"/>
          <w:spacing w:val="1"/>
          <w:sz w:val="14"/>
        </w:rPr>
        <w:t>u</w:t>
      </w:r>
      <w:r>
        <w:rPr>
          <w:rFonts w:ascii="Theinhardt Bold"/>
          <w:b/>
          <w:color w:val="231F20"/>
          <w:spacing w:val="2"/>
          <w:sz w:val="14"/>
        </w:rPr>
        <w:t>n</w:t>
      </w:r>
      <w:r>
        <w:rPr>
          <w:rFonts w:ascii="Theinhardt Bold"/>
          <w:b/>
          <w:color w:val="231F20"/>
          <w:sz w:val="14"/>
        </w:rPr>
        <w:t>d </w:t>
      </w:r>
      <w:r>
        <w:rPr>
          <w:rFonts w:ascii="Theinhardt Bold"/>
          <w:b/>
          <w:color w:val="231F20"/>
          <w:spacing w:val="1"/>
          <w:sz w:val="14"/>
        </w:rPr>
        <w:t>F</w:t>
      </w:r>
      <w:r>
        <w:rPr>
          <w:rFonts w:ascii="Theinhardt Bold"/>
          <w:b/>
          <w:color w:val="231F20"/>
          <w:spacing w:val="3"/>
          <w:sz w:val="14"/>
        </w:rPr>
        <w:t>ass</w:t>
      </w:r>
      <w:r>
        <w:rPr>
          <w:rFonts w:ascii="Theinhardt Bold"/>
          <w:b/>
          <w:color w:val="231F20"/>
          <w:spacing w:val="2"/>
          <w:sz w:val="14"/>
        </w:rPr>
        <w:t>ade</w:t>
      </w:r>
      <w:r>
        <w:rPr>
          <w:rFonts w:ascii="Theinhardt Bold"/>
          <w:b/>
          <w:color w:val="231F20"/>
          <w:sz w:val="14"/>
        </w:rPr>
        <w:t>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helioSKIN</w:t>
      </w:r>
      <w:r>
        <w:rPr>
          <w:rFonts w:ascii="Theinhardt Regular"/>
          <w:color w:val="231F20"/>
          <w:sz w:val="14"/>
        </w:rPr>
        <w:t> by </w:t>
      </w:r>
      <w:r>
        <w:rPr>
          <w:rFonts w:ascii="Theinhardt Regular"/>
          <w:color w:val="231F20"/>
          <w:spacing w:val="2"/>
          <w:sz w:val="14"/>
        </w:rPr>
        <w:t>deltaZERO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Zorzi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18,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6900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Paradiso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991</w:t>
      </w:r>
      <w:r>
        <w:rPr>
          <w:rFonts w:ascii="Theinhardt Regular"/>
          <w:color w:val="231F20"/>
          <w:sz w:val="14"/>
        </w:rPr>
        <w:t> 77 </w:t>
      </w:r>
      <w:r>
        <w:rPr>
          <w:rFonts w:ascii="Theinhardt Regular"/>
          <w:color w:val="231F20"/>
          <w:spacing w:val="-1"/>
          <w:sz w:val="14"/>
        </w:rPr>
        <w:t>55</w:t>
      </w:r>
      <w:hyperlink r:id="rId7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dz@deltazero.com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Gebäudeautomation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DomoticaSwiss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Sagl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Brentani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6900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Lugano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904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76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22103pt;width:167.25pt;height:.45pt;mso-position-horizontal-relative:page;mso-position-vertical-relative:paragraph;z-index:1192" coordorigin="7710,208" coordsize="3345,9">
            <v:group style="position:absolute;left:7732;top:213;width:3311;height:2" coordorigin="7732,213" coordsize="3311,2">
              <v:shape style="position:absolute;left:7732;top:213;width:3311;height:2" coordorigin="7732,213" coordsize="3311,0" path="m7732,213l11042,213e" filled="false" stroked="true" strokeweight=".425pt" strokecolor="#231f20">
                <v:path arrowok="t"/>
                <v:stroke dashstyle="dash"/>
              </v:shape>
            </v:group>
            <v:group style="position:absolute;left:7714;top:213;width:2;height:2" coordorigin="7714,213" coordsize="2,2">
              <v:shape style="position:absolute;left:7714;top:213;width:2;height:2" coordorigin="7714,213" coordsize="0,0" path="m7714,213l7714,213e" filled="false" stroked="true" strokeweight=".425pt" strokecolor="#231f20">
                <v:path arrowok="t"/>
              </v:shape>
            </v:group>
            <v:group style="position:absolute;left:11051;top:213;width:2;height:2" coordorigin="11051,213" coordsize="2,2">
              <v:shape style="position:absolute;left:11051;top:213;width:2;height:2" coordorigin="11051,213" coordsize="0,0" path="m11051,213l11051,213e" filled="false" stroked="true" strokeweight=".425pt" strokecolor="#231f20">
                <v:path arrowok="t"/>
              </v:shape>
            </v:group>
            <w10:wrap type="none"/>
          </v:group>
        </w:pict>
      </w:r>
      <w:hyperlink r:id="rId10">
        <w:r>
          <w:rPr>
            <w:rFonts w:ascii="Theinhardt Regular"/>
            <w:color w:val="231F20"/>
            <w:spacing w:val="2"/>
            <w:sz w:val="14"/>
          </w:rPr>
          <w:t>amministrazione@domoticaswiss.ch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0" w:space="112"/>
            <w:col w:w="3566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2896" cy="489813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896" cy="489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3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3691" w:val="left" w:leader="none"/>
        </w:tabs>
        <w:spacing w:line="200" w:lineRule="atLeast"/>
        <w:ind w:left="119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7"/>
          <w:sz w:val="20"/>
        </w:rPr>
        <w:drawing>
          <wp:inline distT="0" distB="0" distL="0" distR="0">
            <wp:extent cx="2089548" cy="2966656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548" cy="296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7"/>
          <w:sz w:val="20"/>
        </w:rPr>
      </w:r>
      <w:r>
        <w:rPr>
          <w:rFonts w:ascii="Theinhardt Bold"/>
          <w:position w:val="7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4402894" cy="300837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894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3691" w:val="left" w:leader="none"/>
        </w:tabs>
        <w:spacing w:before="4"/>
        <w:ind w:left="12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pgSz w:w="11910" w:h="16840"/>
          <w:pgMar w:top="860" w:bottom="280" w:left="720" w:right="460"/>
        </w:sectPr>
      </w:pP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PV-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Solarthermie-Anlage 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Südseite des Gebäudes sind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integ-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riert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45’850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7" w:val="left" w:leader="none"/>
        </w:tabs>
        <w:spacing w:line="172" w:lineRule="exact" w:before="68"/>
        <w:ind w:left="34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Über 200 schwarzmatte </w:t>
      </w:r>
      <w:r>
        <w:rPr>
          <w:rFonts w:ascii="Theinhardt Bold" w:hAnsi="Theinhardt Bold"/>
          <w:b/>
          <w:color w:val="231F20"/>
          <w:spacing w:val="-1"/>
          <w:sz w:val="14"/>
        </w:rPr>
        <w:t>monokristalline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34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PV-Module</w:t>
      </w:r>
      <w:r>
        <w:rPr>
          <w:rFonts w:ascii="Theinhardt Bold" w:hAnsi="Theinhardt Bold"/>
          <w:b/>
          <w:color w:val="231F20"/>
          <w:sz w:val="14"/>
        </w:rPr>
        <w:t> sind im Dach und in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Südfassade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«Haut» des Gebäudes integriert.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12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</w:r>
      <w:r>
        <w:rPr>
          <w:rFonts w:ascii="Theinhardt Bold" w:hAnsi="Theinhardt Bold"/>
          <w:b/>
          <w:color w:val="231F20"/>
          <w:spacing w:val="-1"/>
          <w:sz w:val="14"/>
        </w:rPr>
        <w:t>Die Bauweise sorgt für 5% </w:t>
      </w:r>
      <w:r>
        <w:rPr>
          <w:rFonts w:ascii="Theinhardt Bold" w:hAnsi="Theinhardt Bold"/>
          <w:b/>
          <w:color w:val="231F20"/>
          <w:spacing w:val="-2"/>
          <w:sz w:val="14"/>
        </w:rPr>
        <w:t>günstigere</w:t>
      </w:r>
      <w:r>
        <w:rPr>
          <w:rFonts w:ascii="Theinhardt Bold" w:hAnsi="Theinhardt Bold"/>
          <w:b/>
          <w:color w:val="231F20"/>
          <w:spacing w:val="-1"/>
          <w:sz w:val="14"/>
        </w:rPr>
        <w:t> Mietzinse,</w:t>
      </w:r>
      <w:r>
        <w:rPr>
          <w:rFonts w:ascii="Theinhardt Bold" w:hAnsi="Theinhardt Bold"/>
          <w:b/>
          <w:color w:val="231F20"/>
          <w:spacing w:val="4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im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Vergleich</w:t>
      </w:r>
      <w:r>
        <w:rPr>
          <w:rFonts w:ascii="Theinhardt Bold" w:hAnsi="Theinhardt Bold"/>
          <w:b/>
          <w:color w:val="231F20"/>
          <w:spacing w:val="-1"/>
          <w:sz w:val="14"/>
        </w:rPr>
        <w:t> zu ähnlichen Quartierswohnungen.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20" w:right="460"/>
          <w:cols w:num="3" w:equalWidth="0">
            <w:col w:w="3298" w:space="274"/>
            <w:col w:w="3379" w:space="193"/>
            <w:col w:w="3586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8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6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"/>
      <w:ind w:left="10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eangelis@deltazero.com" TargetMode="External"/><Relationship Id="rId7" Type="http://schemas.openxmlformats.org/officeDocument/2006/relationships/hyperlink" Target="mailto:dz@deltazero.com" TargetMode="External"/><Relationship Id="rId8" Type="http://schemas.openxmlformats.org/officeDocument/2006/relationships/hyperlink" Target="mailto:roberto.fusetti@termoconsult.info" TargetMode="External"/><Relationship Id="rId9" Type="http://schemas.openxmlformats.org/officeDocument/2006/relationships/hyperlink" Target="mailto:wegreenkey@greenkey.ch" TargetMode="External"/><Relationship Id="rId10" Type="http://schemas.openxmlformats.org/officeDocument/2006/relationships/hyperlink" Target="mailto:amministrazione@domoticaswiss.ch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2019-10-03T16:28:31Z</dcterms:created>
  <dcterms:modified xsi:type="dcterms:W3CDTF">2019-10-03T16:28:31Z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2019-10-03T00:00:00Z</vt:filetime>
  </property>
</Properties>
</file>