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4" w:val="left" w:leader="none"/>
        </w:tabs>
        <w:spacing w:line="230" w:lineRule="exact" w:before="28"/>
        <w:ind w:left="104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4217pt;margin-top:13.647326pt;width:.1pt;height:.1pt;mso-position-horizontal-relative:page;mso-position-vertical-relative:paragraph;z-index:-4264" coordorigin="568,273" coordsize="2,2">
            <v:shape style="position:absolute;left:568;top:273;width:2;height:2" coordorigin="568,273" coordsize="0,0" path="m568,273l56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160706pt;margin-top:13.647326pt;width:.1pt;height:.1pt;mso-position-horizontal-relative:page;mso-position-vertical-relative:paragraph;z-index:1120" coordorigin="3003,273" coordsize="2,2">
            <v:shape style="position:absolute;left:3003;top:273;width:2;height:2" coordorigin="3003,273" coordsize="0,0" path="m3003,273l3003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4217pt;margin-top:25.147326pt;width:.1pt;height:.1pt;mso-position-horizontal-relative:page;mso-position-vertical-relative:paragraph;z-index:-4216" coordorigin="568,503" coordsize="2,2">
            <v:shape style="position:absolute;left:568;top:503;width:2;height:2" coordorigin="568,503" coordsize="0,0" path="m568,503l56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160706pt;margin-top:25.147326pt;width:.1pt;height:.1pt;mso-position-horizontal-relative:page;mso-position-vertical-relative:paragraph;z-index:1168" coordorigin="3003,503" coordsize="2,2">
            <v:shape style="position:absolute;left:3003;top:503;width:2;height:2" coordorigin="3003,503" coordsize="0,0" path="m3003,503l3003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Neubauten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pStyle w:val="Heading1"/>
        <w:spacing w:line="230" w:lineRule="exact" w:before="28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Ladina</w:t>
      </w:r>
      <w:r>
        <w:rPr>
          <w:color w:val="231F20"/>
          <w:spacing w:val="13"/>
        </w:rPr>
        <w:t> </w:t>
      </w:r>
      <w:r>
        <w:rPr>
          <w:color w:val="231F20"/>
        </w:rPr>
        <w:t>und</w:t>
      </w:r>
      <w:r>
        <w:rPr>
          <w:color w:val="231F20"/>
          <w:spacing w:val="13"/>
        </w:rPr>
        <w:t> </w:t>
      </w:r>
      <w:r>
        <w:rPr>
          <w:color w:val="231F20"/>
        </w:rPr>
        <w:t>Dominik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Ebneter-Tischhauser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erstellten</w:t>
      </w:r>
      <w:r>
        <w:rPr>
          <w:color w:val="231F20"/>
          <w:spacing w:val="13"/>
        </w:rPr>
        <w:t> </w:t>
      </w:r>
      <w:r>
        <w:rPr>
          <w:color w:val="231F20"/>
        </w:rPr>
        <w:t>2017</w:t>
      </w:r>
      <w:r>
        <w:rPr>
          <w:color w:val="231F20"/>
          <w:spacing w:val="13"/>
        </w:rPr>
        <w:t> </w:t>
      </w:r>
      <w:r>
        <w:rPr>
          <w:color w:val="231F20"/>
        </w:rPr>
        <w:t>ihr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Einfamilienhaus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82"/>
        </w:rPr>
        <w:t> </w:t>
      </w:r>
      <w:r>
        <w:rPr>
          <w:color w:val="231F20"/>
          <w:spacing w:val="-1"/>
        </w:rPr>
        <w:t>meinde</w:t>
      </w:r>
      <w:r>
        <w:rPr>
          <w:color w:val="231F20"/>
          <w:spacing w:val="-12"/>
        </w:rPr>
        <w:t> </w:t>
      </w:r>
      <w:r>
        <w:rPr>
          <w:color w:val="231F20"/>
        </w:rPr>
        <w:t>Appenzell.</w:t>
      </w:r>
      <w:r>
        <w:rPr>
          <w:color w:val="231F20"/>
          <w:spacing w:val="-19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Holzneubau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weist</w:t>
      </w:r>
      <w:r>
        <w:rPr>
          <w:color w:val="231F20"/>
          <w:spacing w:val="-12"/>
        </w:rPr>
        <w:t> </w:t>
      </w:r>
      <w:r>
        <w:rPr>
          <w:color w:val="231F20"/>
        </w:rPr>
        <w:t>einen</w:t>
      </w:r>
      <w:r>
        <w:rPr>
          <w:color w:val="231F20"/>
          <w:spacing w:val="-12"/>
        </w:rPr>
        <w:t> </w:t>
      </w:r>
      <w:r>
        <w:rPr>
          <w:color w:val="231F20"/>
        </w:rPr>
        <w:t>Gesamtenergiebedarf</w:t>
      </w:r>
      <w:r>
        <w:rPr>
          <w:color w:val="231F20"/>
          <w:spacing w:val="-12"/>
        </w:rPr>
        <w:t> </w:t>
      </w:r>
      <w:r>
        <w:rPr>
          <w:color w:val="231F20"/>
        </w:rPr>
        <w:t>von</w:t>
      </w:r>
      <w:r>
        <w:rPr>
          <w:color w:val="231F20"/>
          <w:spacing w:val="-12"/>
        </w:rPr>
        <w:t> </w:t>
      </w:r>
      <w:r>
        <w:rPr>
          <w:color w:val="231F20"/>
        </w:rPr>
        <w:t>17’300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auf.</w:t>
      </w:r>
      <w:r>
        <w:rPr>
          <w:color w:val="231F20"/>
          <w:spacing w:val="-19"/>
        </w:rPr>
        <w:t> </w:t>
      </w:r>
      <w:r>
        <w:rPr>
          <w:color w:val="231F20"/>
        </w:rPr>
        <w:t>Die</w:t>
      </w:r>
      <w:r>
        <w:rPr>
          <w:b w:val="0"/>
          <w:bCs w:val="0"/>
        </w:rPr>
      </w:r>
    </w:p>
    <w:p>
      <w:pPr>
        <w:spacing w:line="230" w:lineRule="exact" w:before="0"/>
        <w:ind w:left="104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4.5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2.4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PV-Geländeranlage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76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75%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Bedarfs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Warmwasser.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Solarthermie-Dachanlage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Süddach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Gebäudes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99%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</w:t>
      </w:r>
      <w:r>
        <w:rPr>
          <w:rFonts w:ascii="Theinhardt Bold" w:hAnsi="Theinhardt Bold" w:cs="Theinhardt Bold" w:eastAsia="Theinhardt Bold"/>
          <w:b/>
          <w:bCs/>
          <w:color w:val="231F20"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Eigenenergiebedarfs gedeckt.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35" w:space="146"/>
            <w:col w:w="802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99%-EFH </w:t>
      </w:r>
      <w:r>
        <w:rPr>
          <w:rFonts w:ascii="Theinhardt Black"/>
          <w:b/>
          <w:color w:val="0067B1"/>
          <w:spacing w:val="2"/>
          <w:sz w:val="40"/>
        </w:rPr>
        <w:t>Familie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E</w:t>
      </w:r>
      <w:r>
        <w:rPr>
          <w:rFonts w:ascii="Theinhardt Black"/>
          <w:b/>
          <w:color w:val="0067B1"/>
          <w:spacing w:val="2"/>
          <w:sz w:val="40"/>
        </w:rPr>
        <w:t>b</w:t>
      </w:r>
      <w:r>
        <w:rPr>
          <w:rFonts w:ascii="Theinhardt Black"/>
          <w:b/>
          <w:color w:val="0067B1"/>
          <w:spacing w:val="1"/>
          <w:sz w:val="40"/>
        </w:rPr>
        <w:t>n</w:t>
      </w:r>
      <w:r>
        <w:rPr>
          <w:rFonts w:ascii="Theinhardt Black"/>
          <w:b/>
          <w:color w:val="0067B1"/>
          <w:spacing w:val="12"/>
          <w:sz w:val="40"/>
        </w:rPr>
        <w:t>e</w:t>
      </w:r>
      <w:r>
        <w:rPr>
          <w:rFonts w:ascii="Theinhardt Black"/>
          <w:b/>
          <w:color w:val="0067B1"/>
          <w:spacing w:val="3"/>
          <w:sz w:val="40"/>
        </w:rPr>
        <w:t>t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9050 </w:t>
      </w:r>
      <w:r>
        <w:rPr>
          <w:rFonts w:ascii="Theinhardt Black"/>
          <w:b/>
          <w:color w:val="0067B1"/>
          <w:spacing w:val="12"/>
          <w:sz w:val="40"/>
        </w:rPr>
        <w:t>A</w:t>
      </w:r>
      <w:r>
        <w:rPr>
          <w:rFonts w:ascii="Theinhardt Black"/>
          <w:b/>
          <w:color w:val="0067B1"/>
          <w:spacing w:val="2"/>
          <w:sz w:val="40"/>
        </w:rPr>
        <w:t>p</w:t>
      </w:r>
      <w:r>
        <w:rPr>
          <w:rFonts w:ascii="Theinhardt Black"/>
          <w:b/>
          <w:color w:val="0067B1"/>
          <w:spacing w:val="6"/>
          <w:sz w:val="40"/>
        </w:rPr>
        <w:t>p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1"/>
          <w:sz w:val="40"/>
        </w:rPr>
        <w:t>n</w:t>
      </w:r>
      <w:r>
        <w:rPr>
          <w:rFonts w:ascii="Theinhardt Black"/>
          <w:b/>
          <w:color w:val="0067B1"/>
          <w:spacing w:val="-6"/>
          <w:sz w:val="40"/>
        </w:rPr>
        <w:t>z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l</w:t>
      </w:r>
      <w:r>
        <w:rPr>
          <w:rFonts w:ascii="Theinhardt Black"/>
          <w:b/>
          <w:color w:val="0067B1"/>
          <w:spacing w:val="12"/>
          <w:sz w:val="40"/>
        </w:rPr>
        <w:t>l</w:t>
      </w:r>
      <w:r>
        <w:rPr>
          <w:rFonts w:ascii="Theinhardt Black"/>
          <w:b/>
          <w:color w:val="0067B1"/>
          <w:spacing w:val="-26"/>
          <w:sz w:val="40"/>
        </w:rPr>
        <w:t>/</w:t>
      </w:r>
      <w:r>
        <w:rPr>
          <w:rFonts w:ascii="Theinhardt Black"/>
          <w:b/>
          <w:color w:val="0067B1"/>
          <w:spacing w:val="2"/>
          <w:sz w:val="40"/>
        </w:rPr>
        <w:t>A</w:t>
      </w:r>
      <w:r>
        <w:rPr>
          <w:rFonts w:ascii="Theinhardt Black"/>
          <w:b/>
          <w:color w:val="0067B1"/>
          <w:sz w:val="40"/>
        </w:rPr>
        <w:t>I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Bei der </w:t>
      </w:r>
      <w:r>
        <w:rPr>
          <w:color w:val="231F20"/>
          <w:spacing w:val="-1"/>
        </w:rPr>
        <w:t>Planung</w:t>
      </w:r>
      <w:r>
        <w:rPr>
          <w:color w:val="231F20"/>
        </w:rPr>
        <w:t> des neuen Einfamilienhau-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-10"/>
        </w:rPr>
        <w:t> </w:t>
      </w:r>
      <w:r>
        <w:rPr>
          <w:color w:val="231F20"/>
        </w:rPr>
        <w:t>standen</w:t>
      </w:r>
      <w:r>
        <w:rPr>
          <w:color w:val="231F20"/>
          <w:spacing w:val="-10"/>
        </w:rPr>
        <w:t> </w:t>
      </w:r>
      <w:r>
        <w:rPr>
          <w:color w:val="231F20"/>
        </w:rPr>
        <w:t>für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Eigentümer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ökolo-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gische</w:t>
      </w:r>
      <w:r>
        <w:rPr>
          <w:color w:val="231F20"/>
          <w:spacing w:val="41"/>
        </w:rPr>
        <w:t> </w:t>
      </w:r>
      <w:r>
        <w:rPr>
          <w:color w:val="231F20"/>
        </w:rPr>
        <w:t>und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regionale</w:t>
      </w:r>
      <w:r>
        <w:rPr>
          <w:color w:val="231F20"/>
          <w:spacing w:val="41"/>
        </w:rPr>
        <w:t> </w:t>
      </w:r>
      <w:r>
        <w:rPr>
          <w:color w:val="231F20"/>
        </w:rPr>
        <w:t>Materialien</w:t>
      </w:r>
      <w:r>
        <w:rPr>
          <w:color w:val="231F20"/>
          <w:spacing w:val="42"/>
        </w:rPr>
        <w:t> </w:t>
      </w:r>
      <w:r>
        <w:rPr>
          <w:color w:val="231F20"/>
        </w:rPr>
        <w:t>und</w:t>
      </w:r>
      <w:r>
        <w:rPr>
          <w:color w:val="231F20"/>
          <w:spacing w:val="42"/>
        </w:rPr>
        <w:t> </w:t>
      </w:r>
      <w:r>
        <w:rPr>
          <w:color w:val="231F20"/>
        </w:rPr>
        <w:t>ein</w:t>
      </w:r>
      <w:r>
        <w:rPr>
          <w:color w:val="231F20"/>
          <w:spacing w:val="29"/>
        </w:rPr>
        <w:t> </w:t>
      </w:r>
      <w:r>
        <w:rPr>
          <w:color w:val="231F20"/>
        </w:rPr>
        <w:t>hoher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Energie-Autarkiegrad</w:t>
      </w:r>
      <w:r>
        <w:rPr>
          <w:color w:val="231F20"/>
          <w:spacing w:val="-13"/>
        </w:rPr>
        <w:t> </w:t>
      </w:r>
      <w:r>
        <w:rPr>
          <w:color w:val="231F20"/>
        </w:rPr>
        <w:t>im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Vordergrund.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15"/>
        </w:rPr>
        <w:t> </w:t>
      </w:r>
      <w:r>
        <w:rPr>
          <w:color w:val="231F20"/>
        </w:rPr>
        <w:t>im</w:t>
      </w:r>
      <w:r>
        <w:rPr>
          <w:color w:val="231F20"/>
          <w:spacing w:val="15"/>
        </w:rPr>
        <w:t> </w:t>
      </w:r>
      <w:r>
        <w:rPr>
          <w:color w:val="231F20"/>
        </w:rPr>
        <w:t>traditionellen</w:t>
      </w:r>
      <w:r>
        <w:rPr>
          <w:color w:val="231F20"/>
          <w:spacing w:val="15"/>
        </w:rPr>
        <w:t> </w:t>
      </w:r>
      <w:r>
        <w:rPr>
          <w:color w:val="231F20"/>
        </w:rPr>
        <w:t>Appenzeller</w:t>
      </w:r>
      <w:r>
        <w:rPr>
          <w:color w:val="231F20"/>
          <w:spacing w:val="15"/>
        </w:rPr>
        <w:t> </w:t>
      </w:r>
      <w:r>
        <w:rPr>
          <w:color w:val="231F20"/>
        </w:rPr>
        <w:t>Holzbau-</w:t>
      </w:r>
      <w:r>
        <w:rPr>
          <w:color w:val="231F20"/>
          <w:spacing w:val="22"/>
        </w:rPr>
        <w:t> </w:t>
      </w:r>
      <w:r>
        <w:rPr>
          <w:color w:val="231F20"/>
        </w:rPr>
        <w:t>stil</w:t>
      </w:r>
      <w:r>
        <w:rPr>
          <w:color w:val="231F20"/>
          <w:spacing w:val="48"/>
        </w:rPr>
        <w:t> </w:t>
      </w:r>
      <w:r>
        <w:rPr>
          <w:color w:val="231F20"/>
        </w:rPr>
        <w:t>errichtete  </w:t>
      </w:r>
      <w:r>
        <w:rPr>
          <w:color w:val="231F20"/>
          <w:spacing w:val="-2"/>
        </w:rPr>
        <w:t>EFH</w:t>
      </w:r>
      <w:r>
        <w:rPr>
          <w:color w:val="231F20"/>
        </w:rPr>
        <w:t> benötigt rund 17’300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Lediglich</w:t>
      </w:r>
      <w:r>
        <w:rPr>
          <w:color w:val="231F20"/>
          <w:spacing w:val="31"/>
        </w:rPr>
        <w:t> </w:t>
      </w:r>
      <w:r>
        <w:rPr>
          <w:color w:val="231F20"/>
        </w:rPr>
        <w:t>1’700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1"/>
        </w:rPr>
        <w:t> </w:t>
      </w:r>
      <w:r>
        <w:rPr>
          <w:color w:val="231F20"/>
        </w:rPr>
        <w:t>oder</w:t>
      </w:r>
      <w:r>
        <w:rPr>
          <w:color w:val="231F20"/>
          <w:spacing w:val="32"/>
        </w:rPr>
        <w:t> </w:t>
      </w:r>
      <w:r>
        <w:rPr>
          <w:color w:val="231F20"/>
        </w:rPr>
        <w:t>10%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-10"/>
        </w:rPr>
        <w:t> </w:t>
      </w:r>
      <w:r>
        <w:rPr>
          <w:color w:val="231F20"/>
        </w:rPr>
        <w:t>aus</w:t>
      </w:r>
      <w:r>
        <w:rPr>
          <w:color w:val="231F20"/>
          <w:spacing w:val="-10"/>
        </w:rPr>
        <w:t> </w:t>
      </w:r>
      <w:r>
        <w:rPr>
          <w:color w:val="231F20"/>
        </w:rPr>
        <w:t>dem</w:t>
      </w:r>
      <w:r>
        <w:rPr>
          <w:color w:val="231F20"/>
          <w:spacing w:val="-10"/>
        </w:rPr>
        <w:t> </w:t>
      </w:r>
      <w:r>
        <w:rPr>
          <w:color w:val="231F20"/>
        </w:rPr>
        <w:t>öffentlichen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Netz</w:t>
      </w:r>
      <w:r>
        <w:rPr>
          <w:color w:val="231F20"/>
          <w:spacing w:val="-10"/>
        </w:rPr>
        <w:t> </w:t>
      </w:r>
      <w:r>
        <w:rPr>
          <w:color w:val="231F20"/>
        </w:rPr>
        <w:t>bezogen.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restliche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liefern</w:t>
      </w:r>
      <w:r>
        <w:rPr>
          <w:color w:val="231F20"/>
          <w:spacing w:val="31"/>
        </w:rPr>
        <w:t> </w:t>
      </w:r>
      <w:r>
        <w:rPr>
          <w:color w:val="231F20"/>
        </w:rPr>
        <w:t>eine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30"/>
        </w:rPr>
        <w:t> </w:t>
      </w:r>
      <w:r>
        <w:rPr>
          <w:color w:val="231F20"/>
        </w:rPr>
        <w:t>und</w:t>
      </w:r>
      <w:r>
        <w:rPr>
          <w:color w:val="231F20"/>
          <w:spacing w:val="27"/>
        </w:rPr>
        <w:t> </w:t>
      </w:r>
      <w:r>
        <w:rPr>
          <w:color w:val="231F20"/>
        </w:rPr>
        <w:t>eine</w:t>
      </w:r>
      <w:r>
        <w:rPr>
          <w:color w:val="231F20"/>
          <w:spacing w:val="7"/>
        </w:rPr>
        <w:t> </w:t>
      </w:r>
      <w:r>
        <w:rPr>
          <w:color w:val="231F20"/>
        </w:rPr>
        <w:t>Solarthermieanlage.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vorbildlich</w:t>
      </w:r>
      <w:r>
        <w:rPr>
          <w:color w:val="231F20"/>
          <w:spacing w:val="7"/>
        </w:rPr>
        <w:t> </w:t>
      </w:r>
      <w:r>
        <w:rPr>
          <w:color w:val="231F20"/>
        </w:rPr>
        <w:t>in-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tergierte</w:t>
      </w:r>
      <w:r>
        <w:rPr>
          <w:color w:val="231F20"/>
          <w:spacing w:val="-4"/>
        </w:rPr>
        <w:t> </w:t>
      </w:r>
      <w:r>
        <w:rPr>
          <w:color w:val="231F20"/>
        </w:rPr>
        <w:t>4.5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kW-starke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pro-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Wärmepumpe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bewusst</w:t>
      </w:r>
      <w:r>
        <w:rPr>
          <w:color w:val="231F20"/>
          <w:spacing w:val="-15"/>
        </w:rPr>
        <w:t> </w:t>
      </w:r>
      <w:r>
        <w:rPr>
          <w:color w:val="231F20"/>
        </w:rPr>
        <w:t>verzichtet,</w:t>
      </w:r>
      <w:r>
        <w:rPr>
          <w:color w:val="231F20"/>
          <w:spacing w:val="-26"/>
        </w:rPr>
        <w:t> </w:t>
      </w:r>
      <w:r>
        <w:rPr>
          <w:color w:val="231F20"/>
        </w:rPr>
        <w:t>um</w:t>
      </w:r>
      <w:r>
        <w:rPr>
          <w:color w:val="231F20"/>
          <w:spacing w:val="24"/>
        </w:rPr>
        <w:t> </w:t>
      </w:r>
      <w:r>
        <w:rPr>
          <w:color w:val="231F20"/>
        </w:rPr>
        <w:t>den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Strombedarf</w:t>
      </w:r>
      <w:r>
        <w:rPr>
          <w:color w:val="231F20"/>
          <w:spacing w:val="21"/>
        </w:rPr>
        <w:t> </w:t>
      </w:r>
      <w:r>
        <w:rPr>
          <w:color w:val="231F20"/>
        </w:rPr>
        <w:t>im</w:t>
      </w:r>
      <w:r>
        <w:rPr>
          <w:color w:val="231F20"/>
          <w:spacing w:val="21"/>
        </w:rPr>
        <w:t> </w:t>
      </w:r>
      <w:r>
        <w:rPr>
          <w:color w:val="231F20"/>
        </w:rPr>
        <w:t>Winter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1"/>
        </w:rPr>
        <w:t> </w:t>
      </w:r>
      <w:r>
        <w:rPr>
          <w:color w:val="231F20"/>
        </w:rPr>
        <w:t>niedrig</w:t>
      </w:r>
      <w:r>
        <w:rPr>
          <w:color w:val="231F20"/>
          <w:spacing w:val="21"/>
        </w:rPr>
        <w:t> </w:t>
      </w:r>
      <w:r>
        <w:rPr>
          <w:color w:val="231F20"/>
        </w:rPr>
        <w:t>wie</w:t>
      </w:r>
      <w:r>
        <w:rPr>
          <w:color w:val="231F20"/>
          <w:spacing w:val="21"/>
        </w:rPr>
        <w:t> </w:t>
      </w:r>
      <w:r>
        <w:rPr>
          <w:color w:val="231F20"/>
        </w:rPr>
        <w:t>möglich</w:t>
      </w:r>
      <w:r>
        <w:rPr>
          <w:color w:val="231F20"/>
          <w:spacing w:val="-14"/>
        </w:rPr>
        <w:t> </w:t>
      </w:r>
      <w:r>
        <w:rPr>
          <w:color w:val="231F20"/>
        </w:rPr>
        <w:t>zu</w:t>
      </w:r>
      <w:r>
        <w:rPr>
          <w:color w:val="231F20"/>
          <w:spacing w:val="-14"/>
        </w:rPr>
        <w:t> </w:t>
      </w:r>
      <w:r>
        <w:rPr>
          <w:color w:val="231F20"/>
        </w:rPr>
        <w:t>halten.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-14"/>
        </w:rPr>
        <w:t> </w:t>
      </w:r>
      <w:r>
        <w:rPr>
          <w:color w:val="231F20"/>
        </w:rPr>
        <w:t>liefert</w:t>
      </w:r>
      <w:r>
        <w:rPr>
          <w:color w:val="231F20"/>
          <w:spacing w:val="-14"/>
        </w:rPr>
        <w:t> </w:t>
      </w:r>
      <w:r>
        <w:rPr>
          <w:color w:val="231F20"/>
        </w:rPr>
        <w:t>die</w:t>
      </w:r>
      <w:r>
        <w:rPr>
          <w:color w:val="231F20"/>
          <w:spacing w:val="-14"/>
        </w:rPr>
        <w:t> </w:t>
      </w:r>
      <w:r>
        <w:rPr>
          <w:color w:val="231F20"/>
        </w:rPr>
        <w:t>Son-</w:t>
      </w:r>
      <w:r>
        <w:rPr>
          <w:color w:val="231F20"/>
          <w:spacing w:val="28"/>
        </w:rPr>
        <w:t> </w:t>
      </w:r>
      <w:r>
        <w:rPr>
          <w:color w:val="231F20"/>
        </w:rPr>
        <w:t>ne</w:t>
      </w:r>
      <w:r>
        <w:rPr>
          <w:color w:val="231F20"/>
          <w:spacing w:val="12"/>
        </w:rPr>
        <w:t> </w:t>
      </w:r>
      <w:r>
        <w:rPr>
          <w:color w:val="231F20"/>
        </w:rPr>
        <w:t>dem</w:t>
      </w:r>
      <w:r>
        <w:rPr>
          <w:color w:val="231F20"/>
          <w:spacing w:val="12"/>
        </w:rPr>
        <w:t> </w:t>
      </w:r>
      <w:r>
        <w:rPr>
          <w:color w:val="231F20"/>
        </w:rPr>
        <w:t>nachhaltigen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12"/>
        </w:rPr>
        <w:t> </w:t>
      </w:r>
      <w:r>
        <w:rPr>
          <w:color w:val="231F20"/>
        </w:rPr>
        <w:t>Ebneter</w:t>
      </w:r>
      <w:r>
        <w:rPr>
          <w:color w:val="231F20"/>
          <w:spacing w:val="12"/>
        </w:rPr>
        <w:t> </w:t>
      </w:r>
      <w:r>
        <w:rPr>
          <w:color w:val="231F20"/>
        </w:rPr>
        <w:t>17’200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4"/>
        </w:rPr>
        <w:t> </w:t>
      </w:r>
      <w:r>
        <w:rPr>
          <w:color w:val="231F20"/>
        </w:rPr>
        <w:t>oder</w:t>
      </w:r>
      <w:r>
        <w:rPr>
          <w:color w:val="231F20"/>
          <w:spacing w:val="4"/>
        </w:rPr>
        <w:t> </w:t>
      </w:r>
      <w:r>
        <w:rPr>
          <w:color w:val="231F20"/>
        </w:rPr>
        <w:t>99%</w:t>
      </w:r>
      <w:r>
        <w:rPr>
          <w:color w:val="231F20"/>
          <w:spacing w:val="4"/>
        </w:rPr>
        <w:t> </w:t>
      </w:r>
      <w:r>
        <w:rPr>
          <w:color w:val="231F20"/>
        </w:rPr>
        <w:t>des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Gesamtenergie-</w:t>
      </w:r>
      <w:r>
        <w:rPr>
          <w:color w:val="231F20"/>
          <w:spacing w:val="29"/>
        </w:rPr>
        <w:t> </w:t>
      </w:r>
      <w:r>
        <w:rPr>
          <w:color w:val="231F20"/>
        </w:rPr>
        <w:t>bedarfs.</w:t>
      </w:r>
      <w:r>
        <w:rPr/>
      </w:r>
    </w:p>
    <w:p>
      <w:pPr>
        <w:pStyle w:val="BodyText"/>
        <w:spacing w:line="230" w:lineRule="exact" w:before="0"/>
        <w:ind w:right="0" w:firstLine="226"/>
        <w:jc w:val="both"/>
      </w:pPr>
      <w:r>
        <w:rPr>
          <w:color w:val="231F20"/>
        </w:rPr>
        <w:t>Ein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wäre</w:t>
      </w:r>
      <w:r>
        <w:rPr>
          <w:color w:val="231F20"/>
          <w:spacing w:val="43"/>
        </w:rPr>
        <w:t> </w:t>
      </w:r>
      <w:r>
        <w:rPr>
          <w:color w:val="231F20"/>
        </w:rPr>
        <w:t>mit</w:t>
      </w:r>
      <w:r>
        <w:rPr>
          <w:color w:val="231F20"/>
          <w:spacing w:val="44"/>
        </w:rPr>
        <w:t> </w:t>
      </w:r>
      <w:r>
        <w:rPr>
          <w:color w:val="231F20"/>
        </w:rPr>
        <w:t>einem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Minergie-P-Baustandard</w:t>
      </w:r>
      <w:r>
        <w:rPr>
          <w:color w:val="231F20"/>
          <w:spacing w:val="-2"/>
        </w:rPr>
        <w:t> </w:t>
      </w:r>
      <w:r>
        <w:rPr>
          <w:color w:val="231F20"/>
        </w:rPr>
        <w:t>oder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1"/>
        </w:rPr>
        <w:t> </w:t>
      </w:r>
      <w:r>
        <w:rPr>
          <w:color w:val="231F20"/>
        </w:rPr>
        <w:t>ca.</w:t>
      </w:r>
      <w:r>
        <w:rPr>
          <w:color w:val="231F20"/>
          <w:spacing w:val="-13"/>
        </w:rPr>
        <w:t> </w:t>
      </w:r>
      <w:r>
        <w:rPr>
          <w:color w:val="231F20"/>
        </w:rPr>
        <w:t>95</w:t>
      </w:r>
      <w:r>
        <w:rPr>
          <w:color w:val="231F20"/>
          <w:spacing w:val="-1"/>
        </w:rPr>
        <w:t> 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40"/>
          <w:w w:val="104"/>
          <w:position w:val="6"/>
          <w:sz w:val="10"/>
          <w:szCs w:val="10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14"/>
        </w:rPr>
        <w:t> </w:t>
      </w:r>
      <w:r>
        <w:rPr>
          <w:color w:val="231F20"/>
        </w:rPr>
        <w:t>auf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Nord-Dachseite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eben-</w:t>
      </w:r>
      <w:r>
        <w:rPr>
          <w:color w:val="231F20"/>
          <w:spacing w:val="40"/>
        </w:rPr>
        <w:t> </w:t>
      </w:r>
      <w:r>
        <w:rPr>
          <w:color w:val="231F20"/>
        </w:rPr>
        <w:t>falls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erreichbar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gewesen.</w:t>
      </w:r>
      <w:r>
        <w:rPr>
          <w:color w:val="231F20"/>
          <w:spacing w:val="-15"/>
        </w:rPr>
        <w:t> </w:t>
      </w:r>
      <w:r>
        <w:rPr>
          <w:color w:val="231F20"/>
        </w:rPr>
        <w:t>Eine</w:t>
      </w:r>
      <w:r>
        <w:rPr>
          <w:color w:val="231F20"/>
          <w:spacing w:val="-4"/>
        </w:rPr>
        <w:t> </w:t>
      </w:r>
      <w:r>
        <w:rPr>
          <w:color w:val="231F20"/>
        </w:rPr>
        <w:t>17</w:t>
      </w:r>
      <w:r>
        <w:rPr>
          <w:color w:val="231F20"/>
          <w:spacing w:val="-4"/>
        </w:rPr>
        <w:t> </w:t>
      </w:r>
      <w:r>
        <w:rPr>
          <w:color w:val="231F20"/>
        </w:rPr>
        <w:t>kW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dort</w:t>
      </w:r>
      <w:r>
        <w:rPr>
          <w:color w:val="231F20"/>
          <w:spacing w:val="-5"/>
        </w:rPr>
        <w:t> </w:t>
      </w:r>
      <w:r>
        <w:rPr>
          <w:color w:val="231F20"/>
        </w:rPr>
        <w:t>jährlich</w:t>
      </w:r>
      <w:r>
        <w:rPr>
          <w:color w:val="231F20"/>
          <w:spacing w:val="-5"/>
        </w:rPr>
        <w:t> </w:t>
      </w:r>
      <w:r>
        <w:rPr>
          <w:color w:val="231F20"/>
        </w:rPr>
        <w:t>rund</w:t>
      </w:r>
      <w:r>
        <w:rPr>
          <w:color w:val="231F20"/>
          <w:spacing w:val="-5"/>
        </w:rPr>
        <w:t> </w:t>
      </w:r>
      <w:r>
        <w:rPr>
          <w:color w:val="231F20"/>
        </w:rPr>
        <w:t>12’000</w:t>
      </w:r>
      <w:r>
        <w:rPr/>
      </w:r>
    </w:p>
    <w:p>
      <w:pPr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3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820" w:val="left" w:leader="none"/>
          <w:tab w:pos="1569" w:val="left" w:leader="none"/>
          <w:tab w:pos="248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39.5</w:t>
      </w:r>
      <w:r>
        <w:rPr>
          <w:rFonts w:ascii="Theinhardt Regular"/>
          <w:sz w:val="14"/>
        </w:rPr>
        <w:t> cm</w:t>
        <w:tab/>
        <w:t>U-Wert:</w:t>
        <w:tab/>
      </w:r>
      <w:r>
        <w:rPr>
          <w:rFonts w:ascii="Theinhardt Regular"/>
          <w:spacing w:val="-6"/>
          <w:sz w:val="14"/>
        </w:rPr>
        <w:t>0.15</w:t>
      </w:r>
      <w:r>
        <w:rPr>
          <w:rFonts w:ascii="Theinhardt Regular"/>
          <w:spacing w:val="-11"/>
          <w:sz w:val="14"/>
        </w:rPr>
        <w:t> </w:t>
      </w:r>
      <w:r>
        <w:rPr>
          <w:rFonts w:ascii="Theinhardt Regular"/>
          <w:sz w:val="14"/>
        </w:rPr>
        <w:t>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818" w:val="left" w:leader="none"/>
          <w:tab w:pos="1569" w:val="left" w:leader="none"/>
          <w:tab w:pos="244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Dach:</w:t>
        <w:tab/>
        <w:t>34.2 cm</w:t>
        <w:tab/>
        <w:t>U-Wert:</w:t>
        <w:tab/>
        <w:t>0.15 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</w:p>
    <w:p>
      <w:pPr>
        <w:tabs>
          <w:tab w:pos="839" w:val="left" w:leader="none"/>
          <w:tab w:pos="1569" w:val="left" w:leader="none"/>
          <w:tab w:pos="2453" w:val="left" w:leader="none"/>
        </w:tabs>
        <w:spacing w:line="207" w:lineRule="auto" w:before="5"/>
        <w:ind w:left="106" w:right="3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Boden:</w:t>
        <w:tab/>
      </w:r>
      <w:r>
        <w:rPr>
          <w:rFonts w:ascii="Theinhardt Regular"/>
          <w:spacing w:val="-1"/>
          <w:sz w:val="14"/>
        </w:rPr>
        <w:t>26</w:t>
      </w:r>
      <w:r>
        <w:rPr>
          <w:rFonts w:ascii="Theinhardt Regular"/>
          <w:sz w:val="14"/>
        </w:rPr>
        <w:t> </w:t>
      </w:r>
      <w:r>
        <w:rPr>
          <w:rFonts w:ascii="Theinhardt Regular"/>
          <w:w w:val="95"/>
          <w:sz w:val="14"/>
        </w:rPr>
        <w:t>cm</w:t>
        <w:tab/>
      </w:r>
      <w:r>
        <w:rPr>
          <w:rFonts w:ascii="Theinhardt Regular"/>
          <w:sz w:val="14"/>
        </w:rPr>
        <w:t>U-Wert:</w:t>
        <w:tab/>
      </w:r>
      <w:r>
        <w:rPr>
          <w:rFonts w:ascii="Theinhardt Regular"/>
          <w:spacing w:val="-1"/>
          <w:sz w:val="14"/>
        </w:rPr>
        <w:t>0.21</w:t>
      </w:r>
      <w:r>
        <w:rPr>
          <w:rFonts w:ascii="Theinhardt Regular"/>
          <w:sz w:val="14"/>
        </w:rPr>
        <w:t> 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  <w:r>
        <w:rPr>
          <w:rFonts w:ascii="Theinhardt Regular"/>
          <w:spacing w:val="21"/>
          <w:sz w:val="14"/>
        </w:rPr>
        <w:t> </w:t>
      </w:r>
      <w:r>
        <w:rPr>
          <w:rFonts w:ascii="Theinhardt Regular"/>
          <w:sz w:val="14"/>
        </w:rPr>
        <w:t>Fenster:</w:t>
        <w:tab/>
        <w:t>dreifach</w:t>
        <w:tab/>
        <w:t>U-Wert:</w:t>
        <w:tab/>
      </w:r>
      <w:r>
        <w:rPr>
          <w:rFonts w:ascii="Theinhardt Regular"/>
          <w:spacing w:val="-3"/>
          <w:sz w:val="14"/>
        </w:rPr>
        <w:t>0.70</w:t>
      </w:r>
      <w:r>
        <w:rPr>
          <w:rFonts w:ascii="Theinhardt Regular"/>
          <w:sz w:val="14"/>
        </w:rPr>
        <w:t> 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1468" w:val="left" w:leader="none"/>
          <w:tab w:pos="1748" w:val="left" w:leader="none"/>
          <w:tab w:pos="2364" w:val="left" w:leader="none"/>
          <w:tab w:pos="2810" w:val="left" w:leader="none"/>
        </w:tabs>
        <w:spacing w:line="207" w:lineRule="auto" w:before="5"/>
        <w:ind w:left="106" w:right="3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353.5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12.0</w:t>
        <w:tab/>
        <w:t>24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4’245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45" w:val="left" w:leader="none"/>
          <w:tab w:pos="2363" w:val="left" w:leader="none"/>
          <w:tab w:pos="2845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Heizung: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18.3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37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6’469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23" w:val="left" w:leader="none"/>
          <w:tab w:pos="2368" w:val="left" w:leader="none"/>
          <w:tab w:pos="284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8.4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18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2’974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45" w:val="left" w:leader="none"/>
          <w:tab w:pos="2365" w:val="left" w:leader="none"/>
          <w:tab w:pos="284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Holzofen: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w w:val="95"/>
          <w:sz w:val="14"/>
          <w:szCs w:val="14"/>
        </w:rPr>
        <w:t>10.2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21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3’615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27" w:val="left" w:leader="none"/>
          <w:tab w:pos="2278" w:val="left" w:leader="none"/>
          <w:tab w:pos="2747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w w:val="95"/>
          <w:sz w:val="14"/>
          <w:szCs w:val="14"/>
        </w:rPr>
        <w:t>48.9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17’303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pStyle w:val="BodyText"/>
        <w:spacing w:line="122" w:lineRule="exact"/>
        <w:ind w:right="0"/>
        <w:jc w:val="left"/>
      </w:pPr>
      <w:r>
        <w:rPr>
          <w:color w:val="231F20"/>
        </w:rPr>
        <w:t>duziert 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</w:rPr>
        <w:t>mit </w:t>
      </w:r>
      <w:r>
        <w:rPr>
          <w:color w:val="231F20"/>
          <w:spacing w:val="23"/>
        </w:rPr>
        <w:t> </w:t>
      </w:r>
      <w:r>
        <w:rPr>
          <w:color w:val="231F20"/>
        </w:rPr>
        <w:t>der </w:t>
      </w:r>
      <w:r>
        <w:rPr>
          <w:color w:val="231F20"/>
          <w:spacing w:val="23"/>
        </w:rPr>
        <w:t> </w:t>
      </w:r>
      <w:r>
        <w:rPr>
          <w:color w:val="231F20"/>
        </w:rPr>
        <w:t>2.4 </w:t>
      </w:r>
      <w:r>
        <w:rPr>
          <w:color w:val="231F20"/>
          <w:spacing w:val="23"/>
        </w:rPr>
        <w:t> </w:t>
      </w:r>
      <w:r>
        <w:rPr>
          <w:color w:val="231F20"/>
        </w:rPr>
        <w:t>kW 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PV-</w:t>
      </w:r>
      <w:r>
        <w:rPr/>
      </w:r>
    </w:p>
    <w:p>
      <w:pPr>
        <w:pStyle w:val="BodyText"/>
        <w:spacing w:line="122" w:lineRule="exact"/>
        <w:ind w:right="0"/>
        <w:jc w:val="left"/>
      </w:pPr>
      <w:r>
        <w:rPr/>
        <w:br w:type="column"/>
      </w:r>
      <w:r>
        <w:rPr>
          <w:color w:val="231F20"/>
          <w:spacing w:val="-2"/>
        </w:rPr>
        <w:t>kWh/a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erzeugen.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Eigenenergieversor-</w:t>
      </w:r>
      <w:r>
        <w:rPr/>
      </w:r>
    </w:p>
    <w:p>
      <w:pPr>
        <w:spacing w:line="126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Eigen-EV:  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51" w:val="left" w:leader="none"/>
          <w:tab w:pos="1763" w:val="left" w:leader="none"/>
        </w:tabs>
        <w:spacing w:line="126" w:lineRule="exact" w:before="0"/>
        <w:ind w:left="1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kWp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26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4" w:equalWidth="0">
            <w:col w:w="3453" w:space="119"/>
            <w:col w:w="3452" w:space="119"/>
            <w:col w:w="1007" w:space="40"/>
            <w:col w:w="2520"/>
          </w:cols>
        </w:sectPr>
      </w:pPr>
    </w:p>
    <w:p>
      <w:pPr>
        <w:pStyle w:val="BodyText"/>
        <w:spacing w:line="230" w:lineRule="exact" w:before="98"/>
        <w:ind w:right="0"/>
        <w:jc w:val="both"/>
      </w:pPr>
      <w:r>
        <w:rPr>
          <w:color w:val="231F20"/>
          <w:spacing w:val="-1"/>
        </w:rPr>
        <w:t>Balkonanlage</w:t>
      </w:r>
      <w:r>
        <w:rPr>
          <w:color w:val="231F20"/>
          <w:spacing w:val="8"/>
        </w:rPr>
        <w:t> </w:t>
      </w:r>
      <w:r>
        <w:rPr>
          <w:color w:val="231F20"/>
        </w:rPr>
        <w:t>jährlich</w:t>
      </w:r>
      <w:r>
        <w:rPr>
          <w:color w:val="231F20"/>
          <w:spacing w:val="8"/>
        </w:rPr>
        <w:t> </w:t>
      </w:r>
      <w:r>
        <w:rPr>
          <w:color w:val="231F20"/>
        </w:rPr>
        <w:t>rund</w:t>
      </w:r>
      <w:r>
        <w:rPr>
          <w:color w:val="231F20"/>
          <w:spacing w:val="8"/>
        </w:rPr>
        <w:t> </w:t>
      </w:r>
      <w:r>
        <w:rPr>
          <w:color w:val="231F20"/>
        </w:rPr>
        <w:t>6'500</w:t>
      </w:r>
      <w:r>
        <w:rPr>
          <w:color w:val="231F20"/>
          <w:spacing w:val="8"/>
        </w:rPr>
        <w:t> </w:t>
      </w:r>
      <w:r>
        <w:rPr>
          <w:color w:val="231F20"/>
        </w:rPr>
        <w:t>kWh.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3"/>
        </w:rPr>
        <w:t> </w:t>
      </w:r>
      <w:r>
        <w:rPr>
          <w:color w:val="231F20"/>
        </w:rPr>
        <w:t>ebenfalls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7"/>
        </w:rPr>
        <w:t> </w:t>
      </w:r>
      <w:r>
        <w:rPr>
          <w:color w:val="231F20"/>
        </w:rPr>
        <w:t>gut</w:t>
      </w:r>
      <w:r>
        <w:rPr>
          <w:color w:val="231F20"/>
          <w:spacing w:val="8"/>
        </w:rPr>
        <w:t> </w:t>
      </w:r>
      <w:r>
        <w:rPr>
          <w:color w:val="231F20"/>
        </w:rPr>
        <w:t>integrierte</w:t>
      </w:r>
      <w:r>
        <w:rPr>
          <w:color w:val="231F20"/>
          <w:spacing w:val="7"/>
        </w:rPr>
        <w:t> </w:t>
      </w:r>
      <w:r>
        <w:rPr>
          <w:color w:val="231F20"/>
        </w:rPr>
        <w:t>76</w:t>
      </w:r>
      <w:r>
        <w:rPr>
          <w:color w:val="231F20"/>
          <w:spacing w:val="7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3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thermische</w:t>
      </w:r>
      <w:r>
        <w:rPr>
          <w:color w:val="231F20"/>
          <w:spacing w:val="24"/>
        </w:rPr>
        <w:t> </w:t>
      </w:r>
      <w:r>
        <w:rPr>
          <w:color w:val="231F20"/>
        </w:rPr>
        <w:t>Dachanlage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24"/>
        </w:rPr>
        <w:t> </w:t>
      </w:r>
      <w:r>
        <w:rPr>
          <w:color w:val="231F20"/>
        </w:rPr>
        <w:t>10’700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9"/>
        </w:rPr>
        <w:t> </w:t>
      </w:r>
      <w:r>
        <w:rPr>
          <w:color w:val="231F20"/>
        </w:rPr>
        <w:t>Dank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1"/>
        </w:rPr>
        <w:t> </w:t>
      </w:r>
      <w:r>
        <w:rPr>
          <w:color w:val="231F20"/>
        </w:rPr>
        <w:t>15’300</w:t>
      </w:r>
      <w:r>
        <w:rPr>
          <w:color w:val="231F20"/>
          <w:spacing w:val="1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Wärme-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speichers</w:t>
      </w:r>
      <w:r>
        <w:rPr>
          <w:color w:val="231F20"/>
          <w:spacing w:val="22"/>
        </w:rPr>
        <w:t> </w:t>
      </w:r>
      <w:r>
        <w:rPr>
          <w:color w:val="231F20"/>
        </w:rPr>
        <w:t>deckt</w:t>
      </w:r>
      <w:r>
        <w:rPr>
          <w:color w:val="231F20"/>
          <w:spacing w:val="22"/>
        </w:rPr>
        <w:t> </w:t>
      </w:r>
      <w:r>
        <w:rPr>
          <w:color w:val="231F20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22"/>
        </w:rPr>
        <w:t> </w:t>
      </w:r>
      <w:r>
        <w:rPr>
          <w:color w:val="231F20"/>
        </w:rPr>
        <w:t>den</w:t>
      </w:r>
      <w:r>
        <w:rPr>
          <w:color w:val="231F20"/>
          <w:spacing w:val="22"/>
        </w:rPr>
        <w:t> </w:t>
      </w:r>
      <w:r>
        <w:rPr>
          <w:color w:val="231F20"/>
        </w:rPr>
        <w:t>Heiz-</w:t>
      </w:r>
      <w:r>
        <w:rPr>
          <w:color w:val="231F20"/>
          <w:spacing w:val="22"/>
        </w:rPr>
        <w:t> </w:t>
      </w:r>
      <w:r>
        <w:rPr>
          <w:color w:val="231F20"/>
        </w:rPr>
        <w:t>und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Warmwasserbedarf</w:t>
      </w:r>
      <w:r>
        <w:rPr>
          <w:color w:val="231F20"/>
          <w:spacing w:val="19"/>
        </w:rPr>
        <w:t> </w:t>
      </w:r>
      <w:r>
        <w:rPr>
          <w:color w:val="231F20"/>
        </w:rPr>
        <w:t>zu</w:t>
      </w:r>
      <w:r>
        <w:rPr>
          <w:color w:val="231F20"/>
          <w:spacing w:val="19"/>
        </w:rPr>
        <w:t> </w:t>
      </w:r>
      <w:r>
        <w:rPr>
          <w:color w:val="231F20"/>
        </w:rPr>
        <w:t>75%.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restlichen</w:t>
      </w:r>
      <w:r>
        <w:rPr>
          <w:color w:val="231F20"/>
          <w:spacing w:val="25"/>
        </w:rPr>
        <w:t> </w:t>
      </w:r>
      <w:r>
        <w:rPr>
          <w:color w:val="231F20"/>
        </w:rPr>
        <w:t>25%</w:t>
      </w:r>
      <w:r>
        <w:rPr>
          <w:color w:val="231F20"/>
          <w:spacing w:val="30"/>
        </w:rPr>
        <w:t> </w:t>
      </w:r>
      <w:r>
        <w:rPr>
          <w:color w:val="231F20"/>
        </w:rPr>
        <w:t>oder</w:t>
      </w:r>
      <w:r>
        <w:rPr>
          <w:color w:val="231F20"/>
          <w:spacing w:val="31"/>
        </w:rPr>
        <w:t> </w:t>
      </w:r>
      <w:r>
        <w:rPr>
          <w:color w:val="231F20"/>
        </w:rPr>
        <w:t>3’600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1"/>
        </w:rPr>
        <w:t> </w:t>
      </w:r>
      <w:r>
        <w:rPr>
          <w:color w:val="231F20"/>
        </w:rPr>
        <w:t>liefert</w:t>
      </w:r>
      <w:r>
        <w:rPr>
          <w:color w:val="231F20"/>
          <w:spacing w:val="31"/>
        </w:rPr>
        <w:t> </w:t>
      </w:r>
      <w:r>
        <w:rPr>
          <w:color w:val="231F20"/>
        </w:rPr>
        <w:t>ein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Stück-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holz-Lehmofen</w:t>
      </w:r>
      <w:r>
        <w:rPr>
          <w:color w:val="231F20"/>
          <w:spacing w:val="48"/>
        </w:rPr>
        <w:t> </w:t>
      </w:r>
      <w:r>
        <w:rPr>
          <w:color w:val="231F20"/>
        </w:rPr>
        <w:t>mit  2  Ster  Holz.</w:t>
      </w:r>
      <w:r>
        <w:rPr>
          <w:color w:val="231F20"/>
          <w:spacing w:val="38"/>
        </w:rPr>
        <w:t> </w:t>
      </w:r>
      <w:r>
        <w:rPr>
          <w:color w:val="231F20"/>
        </w:rPr>
        <w:t>Auf  eine</w:t>
      </w:r>
      <w:r>
        <w:rPr/>
      </w:r>
    </w:p>
    <w:p>
      <w:pPr>
        <w:pStyle w:val="BodyText"/>
        <w:spacing w:line="230" w:lineRule="exact" w:before="98"/>
        <w:ind w:right="0"/>
        <w:jc w:val="both"/>
      </w:pPr>
      <w:r>
        <w:rPr/>
        <w:br w:type="column"/>
      </w:r>
      <w:r>
        <w:rPr>
          <w:color w:val="231F20"/>
        </w:rPr>
        <w:t>gung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läge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dann</w:t>
      </w:r>
      <w:r>
        <w:rPr>
          <w:color w:val="231F20"/>
          <w:spacing w:val="-16"/>
        </w:rPr>
        <w:t> </w:t>
      </w:r>
      <w:r>
        <w:rPr>
          <w:color w:val="231F20"/>
        </w:rPr>
        <w:t>bei</w:t>
      </w:r>
      <w:r>
        <w:rPr>
          <w:color w:val="231F20"/>
          <w:spacing w:val="-16"/>
        </w:rPr>
        <w:t> </w:t>
      </w:r>
      <w:r>
        <w:rPr>
          <w:color w:val="231F20"/>
        </w:rPr>
        <w:t>169%</w:t>
      </w:r>
      <w:r>
        <w:rPr>
          <w:color w:val="231F20"/>
          <w:spacing w:val="-16"/>
        </w:rPr>
        <w:t> </w:t>
      </w:r>
      <w:r>
        <w:rPr>
          <w:color w:val="231F20"/>
        </w:rPr>
        <w:t>oder</w:t>
      </w:r>
      <w:r>
        <w:rPr>
          <w:color w:val="231F20"/>
          <w:spacing w:val="-16"/>
        </w:rPr>
        <w:t> </w:t>
      </w:r>
      <w:r>
        <w:rPr>
          <w:color w:val="231F20"/>
        </w:rPr>
        <w:t>rund</w:t>
      </w:r>
      <w:r>
        <w:rPr>
          <w:color w:val="231F20"/>
          <w:spacing w:val="-16"/>
        </w:rPr>
        <w:t> </w:t>
      </w:r>
      <w:r>
        <w:rPr>
          <w:color w:val="231F20"/>
        </w:rPr>
        <w:t>29’200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könnten</w:t>
      </w:r>
      <w:r>
        <w:rPr>
          <w:color w:val="231F20"/>
          <w:spacing w:val="2"/>
        </w:rPr>
        <w:t> </w:t>
      </w:r>
      <w:r>
        <w:rPr>
          <w:color w:val="231F20"/>
        </w:rPr>
        <w:t>Ladina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Domi-</w:t>
      </w:r>
      <w:r>
        <w:rPr>
          <w:color w:val="231F20"/>
          <w:spacing w:val="28"/>
        </w:rPr>
        <w:t> </w:t>
      </w:r>
      <w:r>
        <w:rPr>
          <w:color w:val="231F20"/>
        </w:rPr>
        <w:t>nik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Ebneter-Tischhauser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Energie-Autar-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kiegrad</w:t>
      </w:r>
      <w:r>
        <w:rPr>
          <w:color w:val="231F20"/>
          <w:spacing w:val="48"/>
        </w:rPr>
        <w:t> </w:t>
      </w:r>
      <w:r>
        <w:rPr>
          <w:color w:val="231F20"/>
        </w:rPr>
        <w:t>erheblich steigern und z.B.</w:t>
      </w:r>
      <w:r>
        <w:rPr>
          <w:color w:val="231F20"/>
          <w:spacing w:val="38"/>
        </w:rPr>
        <w:t> </w:t>
      </w:r>
      <w:r>
        <w:rPr>
          <w:color w:val="231F20"/>
        </w:rPr>
        <w:t>auch</w:t>
      </w:r>
      <w:r>
        <w:rPr>
          <w:color w:val="231F20"/>
          <w:spacing w:val="25"/>
        </w:rPr>
        <w:t> </w:t>
      </w:r>
      <w:r>
        <w:rPr>
          <w:color w:val="231F20"/>
        </w:rPr>
        <w:t>noch</w:t>
      </w:r>
      <w:r>
        <w:rPr>
          <w:color w:val="231F20"/>
          <w:spacing w:val="45"/>
        </w:rPr>
        <w:t> </w:t>
      </w:r>
      <w:r>
        <w:rPr>
          <w:color w:val="231F20"/>
        </w:rPr>
        <w:t>für</w:t>
      </w:r>
      <w:r>
        <w:rPr>
          <w:color w:val="231F20"/>
          <w:spacing w:val="45"/>
        </w:rPr>
        <w:t> </w:t>
      </w:r>
      <w:r>
        <w:rPr>
          <w:color w:val="231F20"/>
        </w:rPr>
        <w:t>eine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autarke</w:t>
      </w:r>
      <w:r>
        <w:rPr>
          <w:color w:val="231F20"/>
          <w:spacing w:val="45"/>
        </w:rPr>
        <w:t> </w:t>
      </w:r>
      <w:r>
        <w:rPr>
          <w:color w:val="231F20"/>
        </w:rPr>
        <w:t>und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Ver-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kehrsenergie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sorgen.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Solarpreis-Diplom</w:t>
      </w:r>
      <w:r>
        <w:rPr>
          <w:color w:val="231F20"/>
          <w:spacing w:val="51"/>
        </w:rPr>
        <w:t> </w:t>
      </w:r>
      <w:r>
        <w:rPr>
          <w:color w:val="231F20"/>
        </w:rPr>
        <w:t>2019</w:t>
      </w:r>
      <w:r>
        <w:rPr>
          <w:color w:val="231F20"/>
          <w:spacing w:val="28"/>
        </w:rPr>
        <w:t> </w:t>
      </w:r>
      <w:r>
        <w:rPr>
          <w:color w:val="231F20"/>
        </w:rPr>
        <w:t>haben</w:t>
      </w:r>
      <w:r>
        <w:rPr>
          <w:color w:val="231F20"/>
          <w:spacing w:val="29"/>
        </w:rPr>
        <w:t> </w:t>
      </w:r>
      <w:r>
        <w:rPr>
          <w:color w:val="231F20"/>
        </w:rPr>
        <w:t>sich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</w:rPr>
        <w:t>beiden</w:t>
      </w:r>
      <w:r>
        <w:rPr>
          <w:color w:val="231F20"/>
          <w:spacing w:val="29"/>
        </w:rPr>
        <w:t> </w:t>
      </w:r>
      <w:r>
        <w:rPr>
          <w:color w:val="231F20"/>
        </w:rPr>
        <w:t>aber</w:t>
      </w:r>
      <w:r>
        <w:rPr>
          <w:color w:val="231F20"/>
          <w:spacing w:val="28"/>
        </w:rPr>
        <w:t> </w:t>
      </w:r>
      <w:r>
        <w:rPr>
          <w:color w:val="231F20"/>
        </w:rPr>
        <w:t>allemal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verdient.</w:t>
      </w:r>
      <w:r>
        <w:rPr/>
      </w:r>
    </w:p>
    <w:p>
      <w:pPr>
        <w:tabs>
          <w:tab w:pos="843" w:val="left" w:leader="none"/>
          <w:tab w:pos="1682" w:val="left" w:leader="none"/>
          <w:tab w:pos="2361" w:val="left" w:leader="none"/>
          <w:tab w:pos="2770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76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141.0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62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10’714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673" w:val="left" w:leader="none"/>
          <w:tab w:pos="2362" w:val="left" w:leader="none"/>
          <w:tab w:pos="284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4.5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189.7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27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4’743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52" w:val="left" w:leader="none"/>
          <w:tab w:pos="2366" w:val="left" w:leader="none"/>
          <w:tab w:pos="2858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PV-Fass: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2.4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78.1</w:t>
        <w:tab/>
        <w:t>10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1’717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58" w:val="left" w:leader="none"/>
          <w:tab w:pos="2764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99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17’174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673" w:val="left" w:leader="none"/>
          <w:tab w:pos="2363" w:val="left" w:leader="none"/>
          <w:tab w:pos="2769" w:val="left" w:leader="none"/>
        </w:tabs>
        <w:spacing w:line="172" w:lineRule="exact" w:before="0"/>
        <w:ind w:left="106" w:right="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color w:val="231F20"/>
          <w:spacing w:val="1"/>
          <w:sz w:val="14"/>
          <w:szCs w:val="14"/>
        </w:rPr>
        <w:t>Dach-Pot.: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15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4"/>
          <w:sz w:val="14"/>
          <w:szCs w:val="14"/>
        </w:rPr>
        <w:t>120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16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4"/>
          <w:sz w:val="14"/>
          <w:szCs w:val="14"/>
        </w:rPr>
        <w:t>21.5</w:t>
        <w:tab/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3"/>
          <w:w w:val="95"/>
          <w:sz w:val="14"/>
          <w:szCs w:val="14"/>
        </w:rPr>
        <w:t>139.6</w:t>
        <w:tab/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2"/>
          <w:sz w:val="14"/>
          <w:szCs w:val="14"/>
        </w:rPr>
        <w:t>97</w:t>
        <w:tab/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3"/>
          <w:sz w:val="14"/>
          <w:szCs w:val="14"/>
        </w:rPr>
        <w:t>16’757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tabs>
          <w:tab w:pos="2398" w:val="left" w:leader="none"/>
          <w:tab w:pos="2810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58" w:val="left" w:leader="none"/>
          <w:tab w:pos="2764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99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17’174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79" w:val="left" w:leader="none"/>
          <w:tab w:pos="2760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1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’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3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44" w:val="left" w:leader="none"/>
          <w:tab w:pos="3206" w:val="righ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Fremdenergiezufuhr:</w:t>
        <w:tab/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spacing w:val="-1"/>
          <w:sz w:val="14"/>
        </w:rPr>
        <w:t>129</w:t>
      </w:r>
      <w:r>
        <w:rPr>
          <w:rFonts w:ascii="Theinhardt Bold"/>
          <w:sz w:val="14"/>
        </w:rPr>
      </w:r>
    </w:p>
    <w:p>
      <w:pPr>
        <w:spacing w:line="160" w:lineRule="exact" w:before="39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2"/>
          <w:sz w:val="14"/>
        </w:rPr>
        <w:t>Energie-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Wasserversorgung</w:t>
      </w:r>
      <w:r>
        <w:rPr>
          <w:rFonts w:ascii="Theinhardt Bold" w:hAnsi="Theinhardt Bold"/>
          <w:b/>
          <w:color w:val="231F20"/>
          <w:spacing w:val="36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Appenzell</w:t>
      </w:r>
      <w:r>
        <w:rPr>
          <w:rFonts w:ascii="Theinhardt Bold" w:hAnsi="Theinhardt Bold"/>
          <w:b/>
          <w:color w:val="231F20"/>
          <w:spacing w:val="3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5"/>
          <w:sz w:val="14"/>
        </w:rPr>
        <w:t>17.06.19,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Hanspeter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Koller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> 788 96 </w:t>
      </w:r>
      <w:r>
        <w:rPr>
          <w:rFonts w:ascii="Theinhardt Regular"/>
          <w:color w:val="231F20"/>
          <w:spacing w:val="-1"/>
          <w:sz w:val="14"/>
        </w:rPr>
        <w:t>75</w:t>
      </w:r>
      <w:r>
        <w:rPr>
          <w:rFonts w:ascii="Theinhardt Regular"/>
          <w:sz w:val="14"/>
        </w:rPr>
      </w:r>
    </w:p>
    <w:p>
      <w:pPr>
        <w:spacing w:before="88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06" w:right="88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Familie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Ebneter-Tischhauser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Hostetstrasse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9050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Appenzell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071</w:t>
      </w:r>
      <w:r>
        <w:rPr>
          <w:rFonts w:ascii="Theinhardt Regular"/>
          <w:color w:val="231F20"/>
          <w:sz w:val="14"/>
        </w:rPr>
        <w:t> 780 </w:t>
      </w:r>
      <w:r>
        <w:rPr>
          <w:rFonts w:ascii="Theinhardt Regular"/>
          <w:color w:val="231F20"/>
          <w:spacing w:val="-5"/>
          <w:sz w:val="14"/>
        </w:rPr>
        <w:t>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</w:t>
      </w:r>
      <w:hyperlink r:id="rId5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d.ebneter@gmx.ch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Kellenberger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Architektur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9050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Appenzel</w:t>
      </w:r>
      <w:hyperlink r:id="rId6">
        <w:r>
          <w:rPr>
            <w:rFonts w:ascii="Theinhardt Regular"/>
            <w:color w:val="231F20"/>
            <w:spacing w:val="1"/>
            <w:sz w:val="14"/>
          </w:rPr>
          <w:t>l,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info@kellenberger-arch.ch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Solarheizung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-speicher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Jenni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Energietechnik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3414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Oberburg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info@jenni.ch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S</w:t>
      </w:r>
      <w:r>
        <w:rPr>
          <w:rFonts w:ascii="Theinhardt Bold"/>
          <w:b/>
          <w:color w:val="231F20"/>
          <w:spacing w:val="2"/>
          <w:sz w:val="14"/>
        </w:rPr>
        <w:t>olarda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z w:val="14"/>
        </w:rPr>
        <w:t>h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Winkler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Solar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A-6800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Feldkirch</w:t>
      </w:r>
      <w:hyperlink r:id="rId8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solar@winklersolar.com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pict>
          <v:group style="width:167.25pt;height:100.8pt;mso-position-horizontal-relative:char;mso-position-vertical-relative:line" coordorigin="0,0" coordsize="3345,2016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  <v:shape style="position:absolute;left:0;top:66;width:3345;height:1949" type="#_x0000_t75" stroked="false">
                <v:imagedata r:id="rId9" o:title="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48" w:val="left" w:leader="none"/>
        </w:tabs>
        <w:spacing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7.8638pt;width:345.827pt;height:228.473pt;mso-position-horizontal-relative:page;mso-position-vertical-relative:paragraph;z-index:1192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im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traditionellen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Appenzeller Holzbaustil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errichtete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Gebäude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integriertem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Solardach produziert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ca.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17’200 kWh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403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Das </w:t>
      </w:r>
      <w:r>
        <w:rPr>
          <w:rFonts w:ascii="Theinhardt Bold" w:hAnsi="Theinhardt Bold"/>
          <w:b/>
          <w:color w:val="231F20"/>
          <w:spacing w:val="-1"/>
          <w:sz w:val="14"/>
        </w:rPr>
        <w:t>Geländer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Terasse</w:t>
      </w:r>
      <w:r>
        <w:rPr>
          <w:rFonts w:ascii="Theinhardt Bold" w:hAnsi="Theinhardt Bold"/>
          <w:b/>
          <w:color w:val="231F20"/>
          <w:sz w:val="14"/>
        </w:rPr>
        <w:t> besteht aus </w:t>
      </w:r>
      <w:r>
        <w:rPr>
          <w:rFonts w:ascii="Theinhardt Bold" w:hAnsi="Theinhardt Bold"/>
          <w:b/>
          <w:color w:val="231F20"/>
          <w:spacing w:val="-1"/>
          <w:sz w:val="14"/>
        </w:rPr>
        <w:t>licht-</w:t>
      </w:r>
      <w:r>
        <w:rPr>
          <w:rFonts w:ascii="Theinhardt Bold" w:hAnsi="Theinhardt Bold"/>
          <w:b/>
          <w:color w:val="231F20"/>
          <w:spacing w:val="35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durchlässigen</w:t>
      </w:r>
      <w:r>
        <w:rPr>
          <w:rFonts w:ascii="Theinhardt Bold" w:hAnsi="Theinhardt Bold"/>
          <w:b/>
          <w:color w:val="231F20"/>
          <w:sz w:val="14"/>
        </w:rPr>
        <w:t> Glas-Glas Modulen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366" w:space="205"/>
            <w:col w:w="713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78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.ebneter@gmx.ch" TargetMode="External"/><Relationship Id="rId6" Type="http://schemas.openxmlformats.org/officeDocument/2006/relationships/hyperlink" Target="mailto:info@kellenberger-arch.ch" TargetMode="External"/><Relationship Id="rId7" Type="http://schemas.openxmlformats.org/officeDocument/2006/relationships/hyperlink" Target="mailto:info@jenni.ch" TargetMode="External"/><Relationship Id="rId8" Type="http://schemas.openxmlformats.org/officeDocument/2006/relationships/hyperlink" Target="mailto:solar@winklersolar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2019-10-04T10:09:42Z</dcterms:created>
  <dcterms:modified xsi:type="dcterms:W3CDTF">2019-10-04T10:09:42Z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