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46" w:val="left" w:leader="none"/>
        </w:tabs>
        <w:spacing w:line="230" w:lineRule="exact" w:before="28"/>
        <w:ind w:left="106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group style="position:absolute;margin-left:28.559pt;margin-top:13.647326pt;width:.1pt;height:.1pt;mso-position-horizontal-relative:page;mso-position-vertical-relative:paragraph;z-index:-5680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326pt;width:.1pt;height:.1pt;mso-position-horizontal-relative:page;mso-position-vertical-relative:paragraph;z-index:1120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3465pt;margin-top:24.934826pt;width:122.6pt;height:.45pt;mso-position-horizontal-relative:page;mso-position-vertical-relative:paragraph;z-index:-5632" coordorigin="567,499" coordsize="2452,9">
            <v:group style="position:absolute;left:588;top:503;width:2418;height:2" coordorigin="588,503" coordsize="2418,2">
              <v:shape style="position:absolute;left:588;top:503;width:2418;height:2" coordorigin="588,503" coordsize="2418,0" path="m588,503l3006,503e" filled="false" stroked="true" strokeweight=".425pt" strokecolor="#231f20">
                <v:path arrowok="t"/>
                <v:stroke dashstyle="dash"/>
              </v:shape>
            </v:group>
            <v:group style="position:absolute;left:571;top:503;width:2;height:2" coordorigin="571,503" coordsize="2,2">
              <v:shape style="position:absolute;left:571;top:503;width:2;height:2" coordorigin="571,503" coordsize="0,0" path="m571,503l571,503e" filled="false" stroked="true" strokeweight=".425pt" strokecolor="#231f20">
                <v:path arrowok="t"/>
              </v:shape>
            </v:group>
            <v:group style="position:absolute;left:3015;top:503;width:2;height:2" coordorigin="3015,503" coordsize="2,2">
              <v:shape style="position:absolute;left:3015;top:503;width:2;height:2" coordorigin="3015,503" coordsize="0,0" path="m3015,503l3015,503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Catégorie C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  <w:sz w:val="18"/>
        </w:rPr>
      </w:r>
      <w:r>
        <w:rPr>
          <w:rFonts w:ascii="Theinhardt Heavy" w:hAnsi="Theinhardt Heavy"/>
          <w:b/>
          <w:color w:val="231F20"/>
          <w:spacing w:val="26"/>
          <w:sz w:val="18"/>
        </w:rPr>
        <w:t> </w:t>
      </w:r>
      <w:r>
        <w:rPr>
          <w:rFonts w:ascii="Theinhardt Heavy" w:hAnsi="Theinhardt Heavy"/>
          <w:b/>
          <w:color w:val="231F20"/>
          <w:sz w:val="18"/>
        </w:rPr>
        <w:t>Installations </w:t>
      </w:r>
      <w:r>
        <w:rPr>
          <w:rFonts w:ascii="Theinhardt Heavy" w:hAnsi="Theinhardt Heavy"/>
          <w:b/>
          <w:color w:val="231F20"/>
          <w:spacing w:val="-1"/>
          <w:sz w:val="18"/>
        </w:rPr>
        <w:t>énergétiques</w:t>
      </w:r>
      <w:r>
        <w:rPr>
          <w:rFonts w:ascii="Theinhardt Heavy" w:hAnsi="Theinhardt Heavy"/>
          <w:b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Prix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Solaire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Suisse</w:t>
      </w:r>
      <w:r>
        <w:rPr>
          <w:rFonts w:ascii="Theinhardt Regular" w:hAnsi="Theinhardt Regular"/>
          <w:color w:val="231F20"/>
          <w:sz w:val="18"/>
        </w:rPr>
        <w:t> 2019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28"/>
        <w:ind w:left="106" w:right="10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Thierry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Grosjean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voulait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nouvel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hangar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viticole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«Le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Corbet»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construit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domaine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3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Caves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Château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d’Auvernier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(NE)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fonctionne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toutes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circonstances.*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Bien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cet-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zone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viticole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protégée,</w:t>
      </w:r>
      <w:r>
        <w:rPr>
          <w:rFonts w:ascii="Theinhardt Bold" w:hAnsi="Theinhardt Bold" w:cs="Theinhardt Bold" w:eastAsia="Theinhardt Bold"/>
          <w:b/>
          <w:bCs/>
          <w:color w:val="231F20"/>
          <w:spacing w:val="-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ténacité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fini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payer.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Il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obtenu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permis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construire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installation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intégrant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modules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solaires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colorés.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Elle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produit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14’600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kWh/an,</w:t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largement</w:t>
      </w:r>
      <w:r>
        <w:rPr>
          <w:rFonts w:ascii="Theinhardt Bold" w:hAnsi="Theinhardt Bold" w:cs="Theinhardt Bold" w:eastAsia="Theinhardt Bold"/>
          <w:b/>
          <w:bCs/>
          <w:color w:val="231F20"/>
          <w:spacing w:val="6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plus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hangar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consomme.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L’excédent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alimente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d’autres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appareils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machines</w:t>
      </w:r>
      <w:r>
        <w:rPr>
          <w:rFonts w:ascii="Theinhardt Bold" w:hAnsi="Theinhardt Bold" w:cs="Theinhardt Bold" w:eastAsia="Theinhardt Bold"/>
          <w:b/>
          <w:bCs/>
          <w:color w:val="231F20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viticoles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sans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émettre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hAnsi="Theinhardt Bold" w:cs="Theinhardt Bold" w:eastAsia="Theinhardt Bold"/>
          <w:b/>
          <w:bCs/>
          <w:color w:val="231F20"/>
          <w:spacing w:val="-1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Il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réduit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besoins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énergies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fossiles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domaine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dont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consommation</w:t>
      </w:r>
      <w:r>
        <w:rPr>
          <w:rFonts w:ascii="Theinhardt Bold" w:hAnsi="Theinhardt Bold" w:cs="Theinhardt Bold" w:eastAsia="Theinhardt Bold"/>
          <w:b/>
          <w:bCs/>
          <w:color w:val="231F20"/>
          <w:spacing w:val="7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avoisine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114’000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Thierry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Grosjean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prévoit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aussi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d’exploiter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l’énergie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son</w:t>
      </w:r>
      <w:r>
        <w:rPr>
          <w:rFonts w:ascii="Theinhardt Bold" w:hAnsi="Theinhardt Bold" w:cs="Theinhardt Bold" w:eastAsia="Theinhardt Bold"/>
          <w:b/>
          <w:bCs/>
          <w:color w:val="231F20"/>
          <w:spacing w:val="5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château.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2"/>
          <w:sz w:val="40"/>
        </w:rPr>
        <w:t>Hangar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4"/>
          <w:sz w:val="40"/>
        </w:rPr>
        <w:t>viticole,</w:t>
      </w:r>
      <w:r>
        <w:rPr>
          <w:rFonts w:ascii="Theinhardt Black"/>
          <w:b/>
          <w:color w:val="0067B1"/>
          <w:spacing w:val="-24"/>
          <w:sz w:val="40"/>
        </w:rPr>
        <w:t> </w:t>
      </w:r>
      <w:r>
        <w:rPr>
          <w:rFonts w:ascii="Theinhardt Black"/>
          <w:b/>
          <w:color w:val="0067B1"/>
          <w:sz w:val="40"/>
        </w:rPr>
        <w:t>2012 </w:t>
      </w:r>
      <w:r>
        <w:rPr>
          <w:rFonts w:ascii="Theinhardt Black"/>
          <w:b/>
          <w:color w:val="0067B1"/>
          <w:spacing w:val="5"/>
          <w:sz w:val="40"/>
        </w:rPr>
        <w:t>Milvignes/NE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0"/>
        <w:jc w:val="both"/>
      </w:pPr>
      <w:r>
        <w:rPr>
          <w:color w:val="231F20"/>
          <w:spacing w:val="-3"/>
        </w:rPr>
        <w:t>Le</w:t>
      </w:r>
      <w:r>
        <w:rPr>
          <w:color w:val="231F20"/>
          <w:spacing w:val="22"/>
        </w:rPr>
        <w:t> </w:t>
      </w:r>
      <w:r>
        <w:rPr>
          <w:color w:val="231F20"/>
        </w:rPr>
        <w:t>nouvel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hangar</w:t>
      </w:r>
      <w:r>
        <w:rPr>
          <w:color w:val="231F20"/>
          <w:spacing w:val="22"/>
        </w:rPr>
        <w:t> </w:t>
      </w:r>
      <w:r>
        <w:rPr>
          <w:color w:val="231F20"/>
        </w:rPr>
        <w:t>viticole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«Le</w:t>
      </w:r>
      <w:r>
        <w:rPr>
          <w:color w:val="231F20"/>
          <w:spacing w:val="22"/>
        </w:rPr>
        <w:t> </w:t>
      </w:r>
      <w:r>
        <w:rPr>
          <w:color w:val="231F20"/>
        </w:rPr>
        <w:t>Corbet»</w:t>
      </w:r>
      <w:r>
        <w:rPr>
          <w:color w:val="231F20"/>
          <w:spacing w:val="22"/>
        </w:rPr>
        <w:t> </w:t>
      </w:r>
      <w:r>
        <w:rPr>
          <w:color w:val="231F20"/>
        </w:rPr>
        <w:t>des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Caves</w:t>
      </w:r>
      <w:r>
        <w:rPr>
          <w:color w:val="231F20"/>
          <w:spacing w:val="38"/>
        </w:rPr>
        <w:t> </w:t>
      </w:r>
      <w:r>
        <w:rPr>
          <w:color w:val="231F20"/>
        </w:rPr>
        <w:t>du</w:t>
      </w:r>
      <w:r>
        <w:rPr>
          <w:color w:val="231F20"/>
          <w:spacing w:val="39"/>
        </w:rPr>
        <w:t> </w:t>
      </w:r>
      <w:r>
        <w:rPr>
          <w:color w:val="231F20"/>
        </w:rPr>
        <w:t>Château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d’Auvernier</w:t>
      </w:r>
      <w:r>
        <w:rPr>
          <w:color w:val="231F20"/>
          <w:spacing w:val="39"/>
        </w:rPr>
        <w:t> </w:t>
      </w:r>
      <w:r>
        <w:rPr>
          <w:color w:val="231F20"/>
        </w:rPr>
        <w:t>(NE)</w:t>
      </w:r>
      <w:r>
        <w:rPr>
          <w:color w:val="231F20"/>
          <w:spacing w:val="39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été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achevé</w:t>
      </w:r>
      <w:r>
        <w:rPr>
          <w:color w:val="231F20"/>
          <w:spacing w:val="47"/>
        </w:rPr>
        <w:t> </w:t>
      </w:r>
      <w:r>
        <w:rPr>
          <w:color w:val="231F20"/>
        </w:rPr>
        <w:t>en</w:t>
      </w:r>
      <w:r>
        <w:rPr>
          <w:color w:val="231F20"/>
          <w:spacing w:val="48"/>
        </w:rPr>
        <w:t> </w:t>
      </w:r>
      <w:r>
        <w:rPr>
          <w:color w:val="231F20"/>
        </w:rPr>
        <w:t>juin</w:t>
      </w:r>
      <w:r>
        <w:rPr>
          <w:color w:val="231F20"/>
          <w:spacing w:val="47"/>
        </w:rPr>
        <w:t> </w:t>
      </w:r>
      <w:r>
        <w:rPr>
          <w:color w:val="231F20"/>
        </w:rPr>
        <w:t>2018.</w:t>
      </w:r>
      <w:r>
        <w:rPr>
          <w:color w:val="231F20"/>
          <w:spacing w:val="23"/>
        </w:rPr>
        <w:t> </w:t>
      </w:r>
      <w:r>
        <w:rPr>
          <w:color w:val="231F20"/>
        </w:rPr>
        <w:t>Thierry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Grosjean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opté</w:t>
      </w:r>
      <w:r>
        <w:rPr>
          <w:color w:val="231F20"/>
          <w:spacing w:val="41"/>
        </w:rPr>
        <w:t> </w:t>
      </w:r>
      <w:r>
        <w:rPr>
          <w:color w:val="231F20"/>
        </w:rPr>
        <w:t>pour</w:t>
      </w:r>
      <w:r>
        <w:rPr>
          <w:color w:val="231F20"/>
          <w:spacing w:val="42"/>
        </w:rPr>
        <w:t> </w:t>
      </w:r>
      <w:r>
        <w:rPr>
          <w:color w:val="231F20"/>
        </w:rPr>
        <w:t>une</w:t>
      </w:r>
      <w:r>
        <w:rPr>
          <w:color w:val="231F20"/>
          <w:spacing w:val="41"/>
        </w:rPr>
        <w:t> </w:t>
      </w:r>
      <w:r>
        <w:rPr>
          <w:color w:val="231F20"/>
        </w:rPr>
        <w:t>installation</w:t>
      </w:r>
      <w:r>
        <w:rPr>
          <w:color w:val="231F20"/>
          <w:spacing w:val="42"/>
        </w:rPr>
        <w:t> </w:t>
      </w:r>
      <w:r>
        <w:rPr>
          <w:color w:val="231F20"/>
        </w:rPr>
        <w:t>PV</w:t>
      </w:r>
      <w:r>
        <w:rPr>
          <w:color w:val="231F20"/>
          <w:spacing w:val="42"/>
        </w:rPr>
        <w:t> </w:t>
      </w:r>
      <w:r>
        <w:rPr>
          <w:color w:val="231F20"/>
        </w:rPr>
        <w:t>de</w:t>
      </w:r>
      <w:r>
        <w:rPr>
          <w:color w:val="231F20"/>
          <w:spacing w:val="41"/>
        </w:rPr>
        <w:t> </w:t>
      </w:r>
      <w:r>
        <w:rPr>
          <w:color w:val="231F20"/>
        </w:rPr>
        <w:t>couleur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terre</w:t>
      </w:r>
      <w:r>
        <w:rPr>
          <w:color w:val="231F20"/>
          <w:spacing w:val="9"/>
        </w:rPr>
        <w:t> </w:t>
      </w:r>
      <w:r>
        <w:rPr>
          <w:color w:val="231F20"/>
        </w:rPr>
        <w:t>cuite</w:t>
      </w:r>
      <w:r>
        <w:rPr>
          <w:color w:val="231F20"/>
          <w:spacing w:val="9"/>
        </w:rPr>
        <w:t> </w:t>
      </w:r>
      <w:r>
        <w:rPr>
          <w:color w:val="231F20"/>
        </w:rPr>
        <w:t>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raison</w:t>
      </w:r>
      <w:r>
        <w:rPr>
          <w:color w:val="231F20"/>
          <w:spacing w:val="9"/>
        </w:rPr>
        <w:t> </w:t>
      </w:r>
      <w:r>
        <w:rPr>
          <w:color w:val="231F20"/>
        </w:rPr>
        <w:t>des</w:t>
      </w:r>
      <w:r>
        <w:rPr>
          <w:color w:val="231F20"/>
          <w:spacing w:val="9"/>
        </w:rPr>
        <w:t> </w:t>
      </w:r>
      <w:r>
        <w:rPr>
          <w:color w:val="231F20"/>
        </w:rPr>
        <w:t>exigences</w:t>
      </w:r>
      <w:r>
        <w:rPr>
          <w:color w:val="231F20"/>
          <w:spacing w:val="9"/>
        </w:rPr>
        <w:t> </w:t>
      </w:r>
      <w:r>
        <w:rPr>
          <w:color w:val="231F20"/>
        </w:rPr>
        <w:t>strictes</w:t>
      </w:r>
      <w:r>
        <w:rPr>
          <w:color w:val="231F20"/>
          <w:spacing w:val="20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construction.</w:t>
      </w:r>
      <w:r>
        <w:rPr>
          <w:color w:val="231F20"/>
          <w:spacing w:val="-15"/>
        </w:rPr>
        <w:t> </w:t>
      </w:r>
      <w:r>
        <w:rPr>
          <w:color w:val="231F20"/>
        </w:rPr>
        <w:t>Conçue</w:t>
      </w:r>
      <w:r>
        <w:rPr>
          <w:color w:val="231F20"/>
          <w:spacing w:val="-4"/>
        </w:rPr>
        <w:t> </w:t>
      </w:r>
      <w:r>
        <w:rPr>
          <w:color w:val="231F20"/>
        </w:rPr>
        <w:t>pour</w:t>
      </w:r>
      <w:r>
        <w:rPr>
          <w:color w:val="231F20"/>
          <w:spacing w:val="-4"/>
        </w:rPr>
        <w:t> </w:t>
      </w:r>
      <w:r>
        <w:rPr>
          <w:color w:val="231F20"/>
        </w:rPr>
        <w:t>les</w:t>
      </w:r>
      <w:r>
        <w:rPr>
          <w:color w:val="231F20"/>
          <w:spacing w:val="-4"/>
        </w:rPr>
        <w:t> </w:t>
      </w:r>
      <w:r>
        <w:rPr>
          <w:color w:val="231F20"/>
        </w:rPr>
        <w:t>bâtiments</w:t>
      </w:r>
      <w:r>
        <w:rPr>
          <w:color w:val="231F20"/>
          <w:spacing w:val="26"/>
        </w:rPr>
        <w:t> </w:t>
      </w:r>
      <w:r>
        <w:rPr>
          <w:color w:val="231F20"/>
        </w:rPr>
        <w:t>et</w:t>
      </w:r>
      <w:r>
        <w:rPr>
          <w:color w:val="231F20"/>
          <w:spacing w:val="11"/>
        </w:rPr>
        <w:t> </w:t>
      </w:r>
      <w:r>
        <w:rPr>
          <w:color w:val="231F20"/>
        </w:rPr>
        <w:t>les</w:t>
      </w:r>
      <w:r>
        <w:rPr>
          <w:color w:val="231F20"/>
          <w:spacing w:val="11"/>
        </w:rPr>
        <w:t> </w:t>
      </w:r>
      <w:r>
        <w:rPr>
          <w:color w:val="231F20"/>
        </w:rPr>
        <w:t>villages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protégés,</w:t>
      </w:r>
      <w:r>
        <w:rPr>
          <w:color w:val="231F20"/>
        </w:rPr>
        <w:t> elle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été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dévelop-</w:t>
      </w:r>
      <w:r>
        <w:rPr>
          <w:color w:val="231F20"/>
          <w:spacing w:val="28"/>
        </w:rPr>
        <w:t> </w:t>
      </w:r>
      <w:r>
        <w:rPr>
          <w:color w:val="231F20"/>
        </w:rPr>
        <w:t>pée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22"/>
        </w:rPr>
        <w:t> </w:t>
      </w:r>
      <w:r>
        <w:rPr>
          <w:color w:val="231F20"/>
        </w:rPr>
        <w:t>le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Centre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d’électronique</w:t>
      </w:r>
      <w:r>
        <w:rPr>
          <w:color w:val="231F20"/>
          <w:spacing w:val="22"/>
        </w:rPr>
        <w:t> </w:t>
      </w:r>
      <w:r>
        <w:rPr>
          <w:color w:val="231F20"/>
        </w:rPr>
        <w:t>et</w:t>
      </w:r>
      <w:r>
        <w:rPr>
          <w:color w:val="231F20"/>
          <w:spacing w:val="29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microtechnique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(CSEM)</w:t>
      </w:r>
      <w:r>
        <w:rPr>
          <w:color w:val="231F20"/>
          <w:spacing w:val="17"/>
        </w:rPr>
        <w:t> </w:t>
      </w:r>
      <w:r>
        <w:rPr>
          <w:color w:val="231F20"/>
        </w:rPr>
        <w:t>à</w:t>
      </w:r>
      <w:r>
        <w:rPr>
          <w:color w:val="231F20"/>
          <w:spacing w:val="17"/>
        </w:rPr>
        <w:t> </w:t>
      </w:r>
      <w:r>
        <w:rPr>
          <w:color w:val="231F20"/>
        </w:rPr>
        <w:t>Neuchâtel</w:t>
      </w:r>
      <w:r>
        <w:rPr>
          <w:color w:val="231F20"/>
          <w:spacing w:val="17"/>
        </w:rPr>
        <w:t> </w:t>
      </w:r>
      <w:r>
        <w:rPr>
          <w:color w:val="231F20"/>
        </w:rPr>
        <w:t>en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collaboration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3"/>
        </w:rPr>
        <w:t> </w:t>
      </w:r>
      <w:r>
        <w:rPr>
          <w:color w:val="231F20"/>
        </w:rPr>
        <w:t>la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société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</w:rPr>
        <w:t>belge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Issol.</w:t>
      </w:r>
      <w:r>
        <w:rPr>
          <w:color w:val="231F20"/>
          <w:spacing w:val="49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couleur</w:t>
      </w:r>
      <w:r>
        <w:rPr>
          <w:color w:val="231F20"/>
          <w:spacing w:val="20"/>
        </w:rPr>
        <w:t> </w:t>
      </w:r>
      <w:r>
        <w:rPr>
          <w:color w:val="231F20"/>
        </w:rPr>
        <w:t>est</w:t>
      </w:r>
      <w:r>
        <w:rPr>
          <w:color w:val="231F20"/>
          <w:spacing w:val="20"/>
        </w:rPr>
        <w:t> </w:t>
      </w:r>
      <w:r>
        <w:rPr>
          <w:color w:val="231F20"/>
        </w:rPr>
        <w:t>appliquée</w:t>
      </w:r>
      <w:r>
        <w:rPr>
          <w:color w:val="231F20"/>
          <w:spacing w:val="20"/>
        </w:rPr>
        <w:t> </w:t>
      </w:r>
      <w:r>
        <w:rPr>
          <w:color w:val="231F20"/>
        </w:rPr>
        <w:t>sur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face</w:t>
      </w:r>
      <w:r>
        <w:rPr>
          <w:color w:val="231F20"/>
          <w:spacing w:val="20"/>
        </w:rPr>
        <w:t> </w:t>
      </w:r>
      <w:r>
        <w:rPr>
          <w:color w:val="231F20"/>
        </w:rPr>
        <w:t>inter-</w:t>
      </w:r>
      <w:r>
        <w:rPr>
          <w:color w:val="231F20"/>
          <w:spacing w:val="23"/>
        </w:rPr>
        <w:t> </w:t>
      </w:r>
      <w:r>
        <w:rPr>
          <w:color w:val="231F20"/>
        </w:rPr>
        <w:t>ne</w:t>
      </w:r>
      <w:r>
        <w:rPr>
          <w:color w:val="231F20"/>
          <w:spacing w:val="37"/>
        </w:rPr>
        <w:t> </w:t>
      </w:r>
      <w:r>
        <w:rPr>
          <w:color w:val="231F20"/>
        </w:rPr>
        <w:t>du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verre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frontal</w:t>
      </w:r>
      <w:r>
        <w:rPr>
          <w:color w:val="231F20"/>
          <w:spacing w:val="38"/>
        </w:rPr>
        <w:t> </w:t>
      </w:r>
      <w:r>
        <w:rPr>
          <w:color w:val="231F20"/>
        </w:rPr>
        <w:t>à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l’aide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d’un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procédé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d’impression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céramique.</w:t>
      </w:r>
      <w:r>
        <w:rPr>
          <w:color w:val="231F20"/>
          <w:spacing w:val="17"/>
        </w:rPr>
        <w:t> </w:t>
      </w:r>
      <w:r>
        <w:rPr>
          <w:color w:val="231F20"/>
        </w:rPr>
        <w:t>Selon</w:t>
      </w:r>
      <w:r>
        <w:rPr>
          <w:color w:val="231F20"/>
          <w:spacing w:val="28"/>
        </w:rPr>
        <w:t> </w:t>
      </w:r>
      <w:r>
        <w:rPr>
          <w:color w:val="231F20"/>
        </w:rPr>
        <w:t>l’Office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fédéral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l’énergie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(OFEN),</w:t>
      </w:r>
      <w:r>
        <w:rPr>
          <w:color w:val="231F20"/>
          <w:spacing w:val="39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modules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colorés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fournissent</w:t>
      </w:r>
      <w:r>
        <w:rPr>
          <w:color w:val="231F20"/>
          <w:spacing w:val="6"/>
        </w:rPr>
        <w:t> </w:t>
      </w:r>
      <w:r>
        <w:rPr>
          <w:color w:val="231F20"/>
        </w:rPr>
        <w:t>39%</w:t>
      </w:r>
      <w:r>
        <w:rPr>
          <w:color w:val="231F20"/>
          <w:spacing w:val="6"/>
        </w:rPr>
        <w:t> </w:t>
      </w:r>
      <w:r>
        <w:rPr>
          <w:color w:val="231F20"/>
        </w:rPr>
        <w:t>moins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puis-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sance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les</w:t>
      </w:r>
      <w:r>
        <w:rPr>
          <w:color w:val="231F20"/>
          <w:spacing w:val="-1"/>
        </w:rPr>
        <w:t> </w:t>
      </w:r>
      <w:r>
        <w:rPr>
          <w:color w:val="231F20"/>
        </w:rPr>
        <w:t>modules</w:t>
      </w:r>
      <w:r>
        <w:rPr>
          <w:color w:val="231F20"/>
          <w:spacing w:val="-1"/>
        </w:rPr>
        <w:t> biverre transparents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incolores</w:t>
      </w:r>
      <w:r>
        <w:rPr>
          <w:color w:val="231F20"/>
          <w:spacing w:val="25"/>
        </w:rPr>
        <w:t> </w:t>
      </w:r>
      <w:r>
        <w:rPr>
          <w:color w:val="231F20"/>
        </w:rPr>
        <w:t>équipés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cellules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solaires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mo-</w:t>
      </w:r>
      <w:r>
        <w:rPr>
          <w:color w:val="231F20"/>
          <w:spacing w:val="26"/>
        </w:rPr>
        <w:t> </w:t>
      </w:r>
      <w:r>
        <w:rPr>
          <w:color w:val="231F20"/>
        </w:rPr>
        <w:t>nocristallines.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Tant</w:t>
      </w:r>
      <w:r>
        <w:rPr>
          <w:color w:val="231F20"/>
          <w:spacing w:val="8"/>
        </w:rPr>
        <w:t> </w:t>
      </w:r>
      <w:r>
        <w:rPr>
          <w:color w:val="231F20"/>
        </w:rPr>
        <w:t>qu’il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n’existe</w:t>
      </w:r>
      <w:r>
        <w:rPr>
          <w:color w:val="231F20"/>
          <w:spacing w:val="8"/>
        </w:rPr>
        <w:t> </w:t>
      </w:r>
      <w:r>
        <w:rPr>
          <w:color w:val="231F20"/>
        </w:rPr>
        <w:t>aucune</w:t>
      </w:r>
      <w:r>
        <w:rPr>
          <w:color w:val="231F20"/>
          <w:spacing w:val="8"/>
        </w:rPr>
        <w:t> </w:t>
      </w:r>
      <w:r>
        <w:rPr>
          <w:color w:val="231F20"/>
        </w:rPr>
        <w:t>va-</w:t>
      </w:r>
      <w:r>
        <w:rPr>
          <w:color w:val="231F20"/>
          <w:spacing w:val="30"/>
        </w:rPr>
        <w:t> </w:t>
      </w:r>
      <w:r>
        <w:rPr>
          <w:color w:val="231F20"/>
        </w:rPr>
        <w:t>leur</w:t>
      </w:r>
      <w:r>
        <w:rPr>
          <w:color w:val="231F20"/>
          <w:spacing w:val="-8"/>
        </w:rPr>
        <w:t> </w:t>
      </w:r>
      <w:r>
        <w:rPr>
          <w:color w:val="231F20"/>
        </w:rPr>
        <w:t>officiellement</w:t>
      </w:r>
      <w:r>
        <w:rPr>
          <w:color w:val="231F20"/>
          <w:spacing w:val="-8"/>
        </w:rPr>
        <w:t> </w:t>
      </w:r>
      <w:r>
        <w:rPr>
          <w:color w:val="231F20"/>
        </w:rPr>
        <w:t>confirmée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référant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production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solaire,</w:t>
      </w:r>
      <w:r>
        <w:rPr>
          <w:color w:val="231F20"/>
          <w:spacing w:val="-9"/>
        </w:rPr>
        <w:t> </w:t>
      </w:r>
      <w:r>
        <w:rPr>
          <w:color w:val="231F20"/>
        </w:rPr>
        <w:t>on</w:t>
      </w:r>
      <w:r>
        <w:rPr>
          <w:color w:val="231F20"/>
          <w:spacing w:val="2"/>
        </w:rPr>
        <w:t> </w:t>
      </w:r>
      <w:r>
        <w:rPr>
          <w:color w:val="231F20"/>
        </w:rPr>
        <w:t>estime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2"/>
        </w:rPr>
        <w:t> </w:t>
      </w:r>
      <w:r>
        <w:rPr>
          <w:color w:val="231F20"/>
        </w:rPr>
        <w:t>le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hangar</w:t>
      </w:r>
      <w:r>
        <w:rPr>
          <w:color w:val="231F20"/>
          <w:spacing w:val="24"/>
        </w:rPr>
        <w:t> </w:t>
      </w:r>
      <w:r>
        <w:rPr>
          <w:color w:val="231F20"/>
        </w:rPr>
        <w:t>viticole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générerait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près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24’000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kWh/a.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verre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coloré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entraînant</w:t>
      </w:r>
      <w:r>
        <w:rPr>
          <w:color w:val="231F20"/>
          <w:spacing w:val="-12"/>
        </w:rPr>
        <w:t> </w:t>
      </w:r>
      <w:r>
        <w:rPr>
          <w:color w:val="231F20"/>
        </w:rPr>
        <w:t>une</w:t>
      </w:r>
      <w:r>
        <w:rPr>
          <w:color w:val="231F20"/>
          <w:spacing w:val="-12"/>
        </w:rPr>
        <w:t> </w:t>
      </w:r>
      <w:r>
        <w:rPr>
          <w:color w:val="231F20"/>
          <w:spacing w:val="1"/>
        </w:rPr>
        <w:t>perte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puis-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sance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39%,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est</w:t>
      </w:r>
      <w:r>
        <w:rPr>
          <w:color w:val="231F20"/>
          <w:spacing w:val="-1"/>
        </w:rPr>
        <w:t> </w:t>
      </w:r>
      <w:r>
        <w:rPr>
          <w:color w:val="231F20"/>
        </w:rPr>
        <w:t>donc</w:t>
      </w:r>
      <w:r>
        <w:rPr>
          <w:color w:val="231F20"/>
          <w:spacing w:val="-1"/>
        </w:rPr>
        <w:t> </w:t>
      </w:r>
      <w:r>
        <w:rPr>
          <w:color w:val="231F20"/>
        </w:rPr>
        <w:t>limité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14’600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kWh/a.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  <w:spacing w:val="-2"/>
        </w:rPr>
        <w:t>L’installation</w:t>
      </w:r>
      <w:r>
        <w:rPr>
          <w:color w:val="231F20"/>
          <w:spacing w:val="27"/>
        </w:rPr>
        <w:t> </w:t>
      </w:r>
      <w:r>
        <w:rPr>
          <w:color w:val="231F20"/>
        </w:rPr>
        <w:t>PV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7"/>
        </w:rPr>
        <w:t> </w:t>
      </w:r>
      <w:r>
        <w:rPr>
          <w:color w:val="231F20"/>
        </w:rPr>
        <w:t>24</w:t>
      </w:r>
      <w:r>
        <w:rPr>
          <w:color w:val="231F20"/>
          <w:spacing w:val="28"/>
        </w:rPr>
        <w:t> </w:t>
      </w:r>
      <w:r>
        <w:rPr>
          <w:color w:val="231F20"/>
        </w:rPr>
        <w:t>kW</w:t>
      </w:r>
      <w:r>
        <w:rPr>
          <w:color w:val="231F20"/>
          <w:spacing w:val="28"/>
        </w:rPr>
        <w:t> </w:t>
      </w:r>
      <w:r>
        <w:rPr>
          <w:color w:val="231F20"/>
        </w:rPr>
        <w:t>est</w:t>
      </w:r>
      <w:r>
        <w:rPr>
          <w:color w:val="231F20"/>
          <w:spacing w:val="27"/>
        </w:rPr>
        <w:t> </w:t>
      </w:r>
      <w:r>
        <w:rPr>
          <w:color w:val="231F20"/>
        </w:rPr>
        <w:t>bien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tégrée</w:t>
      </w:r>
      <w:r>
        <w:rPr>
          <w:color w:val="231F20"/>
          <w:spacing w:val="6"/>
        </w:rPr>
        <w:t> </w:t>
      </w:r>
      <w:r>
        <w:rPr>
          <w:color w:val="231F20"/>
        </w:rPr>
        <w:t>à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toiture</w:t>
      </w:r>
      <w:r>
        <w:rPr>
          <w:color w:val="231F20"/>
          <w:spacing w:val="6"/>
        </w:rPr>
        <w:t> </w:t>
      </w:r>
      <w:r>
        <w:rPr>
          <w:color w:val="231F20"/>
        </w:rPr>
        <w:t>côté</w:t>
      </w:r>
      <w:r>
        <w:rPr>
          <w:color w:val="231F20"/>
          <w:spacing w:val="6"/>
        </w:rPr>
        <w:t> </w:t>
      </w:r>
      <w:r>
        <w:rPr>
          <w:color w:val="231F20"/>
        </w:rPr>
        <w:t>sud.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Le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vert</w:t>
      </w:r>
      <w:r>
        <w:rPr>
          <w:color w:val="231F20"/>
          <w:spacing w:val="40"/>
        </w:rPr>
        <w:t> </w:t>
      </w:r>
      <w:r>
        <w:rPr>
          <w:color w:val="231F20"/>
        </w:rPr>
        <w:t>alimente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différentes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machines</w:t>
      </w:r>
      <w:r>
        <w:rPr>
          <w:color w:val="231F20"/>
          <w:spacing w:val="41"/>
        </w:rPr>
        <w:t> </w:t>
      </w:r>
      <w:r>
        <w:rPr>
          <w:color w:val="231F20"/>
        </w:rPr>
        <w:t>viti-</w:t>
      </w:r>
      <w:r>
        <w:rPr>
          <w:color w:val="231F20"/>
          <w:spacing w:val="38"/>
        </w:rPr>
        <w:t> </w:t>
      </w:r>
      <w:r>
        <w:rPr>
          <w:color w:val="231F20"/>
        </w:rPr>
        <w:t>coles</w:t>
      </w:r>
      <w:r>
        <w:rPr>
          <w:color w:val="231F20"/>
          <w:spacing w:val="45"/>
        </w:rPr>
        <w:t> </w:t>
      </w:r>
      <w:r>
        <w:rPr>
          <w:color w:val="231F20"/>
        </w:rPr>
        <w:t>et</w:t>
      </w:r>
      <w:r>
        <w:rPr>
          <w:color w:val="231F20"/>
          <w:spacing w:val="46"/>
        </w:rPr>
        <w:t> </w:t>
      </w:r>
      <w:r>
        <w:rPr>
          <w:color w:val="231F20"/>
        </w:rPr>
        <w:t>aussi</w:t>
      </w:r>
      <w:r>
        <w:rPr>
          <w:color w:val="231F20"/>
          <w:spacing w:val="45"/>
        </w:rPr>
        <w:t> </w:t>
      </w:r>
      <w:r>
        <w:rPr>
          <w:color w:val="231F20"/>
        </w:rPr>
        <w:t>partiellement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l’exploitation.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Partisan</w:t>
      </w:r>
      <w:r>
        <w:rPr>
          <w:color w:val="231F20"/>
        </w:rPr>
        <w:t> </w:t>
      </w:r>
      <w:r>
        <w:rPr>
          <w:color w:val="231F20"/>
          <w:spacing w:val="-1"/>
        </w:rPr>
        <w:t>convaincu</w:t>
      </w:r>
      <w:r>
        <w:rPr>
          <w:color w:val="231F20"/>
        </w:rPr>
        <w:t> de la </w:t>
      </w:r>
      <w:r>
        <w:rPr>
          <w:color w:val="231F20"/>
          <w:spacing w:val="-1"/>
        </w:rPr>
        <w:t>technologie</w:t>
      </w:r>
      <w:r>
        <w:rPr>
          <w:color w:val="231F20"/>
        </w:rPr>
        <w:t> </w:t>
      </w:r>
      <w:r>
        <w:rPr>
          <w:color w:val="231F20"/>
          <w:spacing w:val="-6"/>
        </w:rPr>
        <w:t>PV,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ardent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défenseur</w:t>
      </w:r>
      <w:r>
        <w:rPr>
          <w:color w:val="231F20"/>
          <w:spacing w:val="36"/>
        </w:rPr>
        <w:t> </w:t>
      </w:r>
      <w:r>
        <w:rPr>
          <w:color w:val="231F20"/>
        </w:rPr>
        <w:t>du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solaire</w:t>
      </w:r>
      <w:r>
        <w:rPr>
          <w:color w:val="231F20"/>
          <w:spacing w:val="36"/>
        </w:rPr>
        <w:t> </w:t>
      </w:r>
      <w:r>
        <w:rPr>
          <w:color w:val="231F20"/>
        </w:rPr>
        <w:t>et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encouragé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par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l’expérience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réussie</w:t>
      </w:r>
      <w:r>
        <w:rPr>
          <w:color w:val="231F20"/>
          <w:spacing w:val="22"/>
        </w:rPr>
        <w:t> </w:t>
      </w:r>
      <w:r>
        <w:rPr>
          <w:color w:val="231F20"/>
        </w:rPr>
        <w:t>du</w:t>
      </w:r>
      <w:r>
        <w:rPr>
          <w:color w:val="231F20"/>
          <w:spacing w:val="22"/>
        </w:rPr>
        <w:t> </w:t>
      </w:r>
      <w:r>
        <w:rPr>
          <w:color w:val="231F20"/>
        </w:rPr>
        <w:t>nouvel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hangar,</w:t>
      </w:r>
      <w:r>
        <w:rPr>
          <w:color w:val="231F20"/>
          <w:spacing w:val="23"/>
        </w:rPr>
        <w:t> </w:t>
      </w:r>
      <w:r>
        <w:rPr>
          <w:color w:val="231F20"/>
        </w:rPr>
        <w:t>Thierry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Grosjean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prévoit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d’utiliser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l’énergie</w:t>
      </w:r>
      <w:r>
        <w:rPr>
          <w:color w:val="231F20"/>
          <w:spacing w:val="47"/>
        </w:rPr>
        <w:t> </w:t>
      </w:r>
      <w:r>
        <w:rPr>
          <w:color w:val="231F20"/>
        </w:rPr>
        <w:t>du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soleil</w:t>
      </w:r>
      <w:r>
        <w:rPr>
          <w:color w:val="231F20"/>
          <w:spacing w:val="10"/>
        </w:rPr>
        <w:t> </w:t>
      </w:r>
      <w:r>
        <w:rPr>
          <w:color w:val="231F20"/>
        </w:rPr>
        <w:t>pour</w:t>
      </w:r>
      <w:r>
        <w:rPr>
          <w:color w:val="231F20"/>
          <w:spacing w:val="10"/>
        </w:rPr>
        <w:t> </w:t>
      </w:r>
      <w:r>
        <w:rPr>
          <w:color w:val="231F20"/>
        </w:rPr>
        <w:t>alimenter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son</w:t>
      </w:r>
      <w:r>
        <w:rPr>
          <w:color w:val="231F20"/>
          <w:spacing w:val="10"/>
        </w:rPr>
        <w:t> </w:t>
      </w:r>
      <w:r>
        <w:rPr>
          <w:color w:val="231F20"/>
        </w:rPr>
        <w:t>château</w:t>
      </w:r>
      <w:r>
        <w:rPr>
          <w:color w:val="231F20"/>
          <w:spacing w:val="10"/>
        </w:rPr>
        <w:t> </w:t>
      </w:r>
      <w:r>
        <w:rPr>
          <w:color w:val="231F20"/>
        </w:rPr>
        <w:t>histo-</w:t>
      </w:r>
      <w:r>
        <w:rPr>
          <w:color w:val="231F20"/>
          <w:spacing w:val="28"/>
        </w:rPr>
        <w:t> </w:t>
      </w:r>
      <w:r>
        <w:rPr>
          <w:color w:val="231F20"/>
        </w:rPr>
        <w:t>rique.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18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rénovation</w:t>
      </w:r>
      <w:r>
        <w:rPr>
          <w:color w:val="231F20"/>
          <w:spacing w:val="18"/>
        </w:rPr>
        <w:t> </w:t>
      </w:r>
      <w:r>
        <w:rPr>
          <w:color w:val="231F20"/>
        </w:rPr>
        <w:t>du</w:t>
      </w:r>
      <w:r>
        <w:rPr>
          <w:color w:val="231F20"/>
          <w:spacing w:val="18"/>
        </w:rPr>
        <w:t> </w:t>
      </w:r>
      <w:r>
        <w:rPr>
          <w:color w:val="231F20"/>
        </w:rPr>
        <w:t>toit</w:t>
      </w:r>
      <w:r>
        <w:rPr>
          <w:color w:val="231F20"/>
          <w:spacing w:val="18"/>
        </w:rPr>
        <w:t> </w:t>
      </w:r>
      <w:r>
        <w:rPr>
          <w:color w:val="231F20"/>
        </w:rPr>
        <w:t>et</w:t>
      </w:r>
      <w:r>
        <w:rPr>
          <w:color w:val="231F20"/>
          <w:spacing w:val="18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mise</w:t>
      </w:r>
      <w:r>
        <w:rPr>
          <w:color w:val="231F20"/>
          <w:spacing w:val="27"/>
        </w:rPr>
        <w:t> </w:t>
      </w:r>
      <w:r>
        <w:rPr>
          <w:color w:val="231F20"/>
        </w:rPr>
        <w:t>en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œuvre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d’une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infrastructure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solaire</w:t>
      </w:r>
      <w:r>
        <w:rPr>
          <w:color w:val="231F20"/>
          <w:spacing w:val="45"/>
        </w:rPr>
        <w:t> </w:t>
      </w:r>
      <w:r>
        <w:rPr>
          <w:color w:val="231F20"/>
        </w:rPr>
        <w:t>sur</w:t>
      </w:r>
      <w:r>
        <w:rPr>
          <w:color w:val="231F20"/>
          <w:spacing w:val="39"/>
        </w:rPr>
        <w:t> </w:t>
      </w:r>
      <w:r>
        <w:rPr>
          <w:color w:val="231F20"/>
        </w:rPr>
        <w:t>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hangar</w:t>
      </w:r>
      <w:r>
        <w:rPr>
          <w:color w:val="231F20"/>
          <w:spacing w:val="12"/>
        </w:rPr>
        <w:t> </w:t>
      </w:r>
      <w:r>
        <w:rPr>
          <w:color w:val="231F20"/>
        </w:rPr>
        <w:t>viticole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«Le</w:t>
      </w:r>
      <w:r>
        <w:rPr>
          <w:color w:val="231F20"/>
          <w:spacing w:val="12"/>
        </w:rPr>
        <w:t> </w:t>
      </w:r>
      <w:r>
        <w:rPr>
          <w:color w:val="231F20"/>
        </w:rPr>
        <w:t>Corbet»,</w:t>
      </w:r>
      <w:r>
        <w:rPr>
          <w:color w:val="231F20"/>
          <w:spacing w:val="-14"/>
        </w:rPr>
        <w:t> </w:t>
      </w:r>
      <w:r>
        <w:rPr>
          <w:color w:val="231F20"/>
        </w:rPr>
        <w:t>Thierry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Gro-</w:t>
      </w:r>
      <w:r>
        <w:rPr>
          <w:color w:val="231F20"/>
          <w:spacing w:val="28"/>
        </w:rPr>
        <w:t> </w:t>
      </w:r>
      <w:r>
        <w:rPr>
          <w:color w:val="231F20"/>
        </w:rPr>
        <w:t>sjean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reçoit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Prix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  <w:spacing w:val="-12"/>
        </w:rPr>
        <w:t> </w:t>
      </w:r>
      <w:r>
        <w:rPr>
          <w:color w:val="231F20"/>
        </w:rPr>
        <w:t>2019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dans</w:t>
      </w:r>
      <w:r>
        <w:rPr>
          <w:color w:val="231F20"/>
          <w:spacing w:val="25"/>
        </w:rPr>
        <w:t> </w:t>
      </w:r>
      <w:r>
        <w:rPr>
          <w:color w:val="231F20"/>
        </w:rPr>
        <w:t>la catégorie «Installations </w:t>
      </w:r>
      <w:r>
        <w:rPr>
          <w:color w:val="231F20"/>
          <w:spacing w:val="-1"/>
        </w:rPr>
        <w:t>énergétiques».</w:t>
      </w:r>
      <w:r>
        <w:rPr/>
      </w:r>
    </w:p>
    <w:p>
      <w:pPr>
        <w:spacing w:line="230" w:lineRule="exact" w:before="52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erbaute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Weinunterstand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Châ-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d’Auvernier/NE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wurde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Juni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fertiggestellt.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Aufgrund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strengen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Bau-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auflagen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entschied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Thierry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Grosjean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terrakotta-farbene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PV-Anlage.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wur-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geschützte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Bauten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Ortschaften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Forschungsinstitut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Suisse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d’Electronique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Microtechnique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(CSEM)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Neuchâtel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Zusammenarbeit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Schweizer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Firma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Issol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entwickelt.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Farb-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auftrag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wird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keramischem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Druckverfah-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Innenseite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Frontglases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auf-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gedruckt.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Laut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Bundesamt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(BFE)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verlieren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eingefärbte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Solarmodule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Leistung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Vergleich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zu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ungefärbten,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trans-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parenten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Glas-Glas-Modulen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monokris-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tallinen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Solarzellen.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Solange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keine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amtlich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bestätigten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Werte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über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Solarstrompro-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duktion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vorliegen,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wird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angenommen,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dass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monokristalline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Solarzellen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ohne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Glasfärbung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etwa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24</w:t>
      </w:r>
      <w:r>
        <w:rPr>
          <w:rFonts w:ascii="Theinhardt Light Italic" w:hAnsi="Theinhardt Light Italic" w:cs="Theinhardt Light Italic" w:eastAsia="Theinhardt Light Italic"/>
          <w:i/>
          <w:color w:val="231F20"/>
          <w:spacing w:val="-1"/>
          <w:sz w:val="18"/>
          <w:szCs w:val="18"/>
        </w:rPr>
        <w:t>’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erzeugen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könnten.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Glasfärbung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führt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zu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einer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Leistungs-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einbusse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39%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14</w:t>
      </w:r>
      <w:r>
        <w:rPr>
          <w:rFonts w:ascii="Theinhardt Light Italic" w:hAnsi="Theinhardt Light Italic" w:cs="Theinhardt Light Italic" w:eastAsia="Theinhardt Light Italic"/>
          <w:i/>
          <w:color w:val="231F20"/>
          <w:spacing w:val="-1"/>
          <w:sz w:val="18"/>
          <w:szCs w:val="18"/>
        </w:rPr>
        <w:t>’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600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statt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24</w:t>
      </w:r>
      <w:r>
        <w:rPr>
          <w:rFonts w:ascii="Theinhardt Light Italic" w:hAnsi="Theinhardt Light Italic" w:cs="Theinhardt Light Italic" w:eastAsia="Theinhardt Light Italic"/>
          <w:i/>
          <w:color w:val="231F20"/>
          <w:spacing w:val="-1"/>
          <w:sz w:val="18"/>
          <w:szCs w:val="18"/>
        </w:rPr>
        <w:t>’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24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starke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PV-Anlage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ganzflä-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chig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vorbildlich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Süddach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integriert.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-freie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Solarstrom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versorgt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verschiedene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Weinbaumaschinen,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teilweise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Châ-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d’Auvernier.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Thierry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Grosjeans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ist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über-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zeugter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Befürworter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Photovoltaik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hartnäckiger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Kämpfer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Solarenergie.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Motiviert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durch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Erfolg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nun,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sein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historisches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Schloss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PV-Strom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zu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versor-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gen.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Für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Dachsanierung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Errichtung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Solaranlage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«Le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Corbet»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erhält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Thierry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Grosjeans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Schweizer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Solarpreis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2019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Kategorie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Energieanlagen.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> techniques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thermique</w:t>
      </w:r>
      <w:r>
        <w:rPr>
          <w:rFonts w:ascii="Theinhardt Bold"/>
          <w:sz w:val="14"/>
        </w:rPr>
      </w:r>
    </w:p>
    <w:p>
      <w:pPr>
        <w:tabs>
          <w:tab w:pos="1199" w:val="left" w:leader="none"/>
          <w:tab w:pos="1788" w:val="left" w:leader="none"/>
          <w:tab w:pos="266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Mur:</w:t>
        <w:tab/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788" w:val="left" w:leader="none"/>
          <w:tab w:pos="2662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Toiture/grenier:  </w:t>
      </w:r>
      <w:r>
        <w:rPr>
          <w:rFonts w:ascii="Theinhardt Regular"/>
          <w:color w:val="231F20"/>
          <w:spacing w:val="15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0.19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Vitre:</w:t>
        <w:tab/>
        <w:t>U-Wert:</w:t>
        <w:tab/>
      </w:r>
      <w:r>
        <w:rPr>
          <w:rFonts w:ascii="Theinhardt Regular"/>
          <w:color w:val="231F20"/>
          <w:sz w:val="14"/>
        </w:rPr>
        <w:t>2.5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r>
        <w:rPr>
          <w:rFonts w:ascii="Theinhardt Bold" w:hAnsi="Theinhardt Bold"/>
          <w:sz w:val="14"/>
        </w:rPr>
      </w:r>
    </w:p>
    <w:p>
      <w:pPr>
        <w:tabs>
          <w:tab w:pos="2529" w:val="left" w:leader="none"/>
          <w:tab w:pos="299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Surface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toit:</w:t>
      </w:r>
      <w:r>
        <w:rPr>
          <w:rFonts w:ascii="Theinhardt Regular"/>
          <w:color w:val="231F20"/>
          <w:sz w:val="14"/>
        </w:rPr>
        <w:t> 234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position w:val="5"/>
          <w:sz w:val="8"/>
        </w:rPr>
        <w:t>      </w:t>
      </w:r>
      <w:r>
        <w:rPr>
          <w:rFonts w:ascii="Theinhardt Regular"/>
          <w:color w:val="231F20"/>
          <w:spacing w:val="7"/>
          <w:position w:val="5"/>
          <w:sz w:val="8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tabs>
          <w:tab w:pos="1966" w:val="left" w:leader="none"/>
          <w:tab w:pos="301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besoins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énerg.: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25.6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6’000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énergétique</w:t>
      </w:r>
      <w:r>
        <w:rPr>
          <w:rFonts w:ascii="Theinhardt Bold" w:hAnsi="Theinhardt Bold"/>
          <w:sz w:val="14"/>
        </w:rPr>
      </w:r>
    </w:p>
    <w:p>
      <w:pPr>
        <w:tabs>
          <w:tab w:pos="894" w:val="left" w:leader="none"/>
          <w:tab w:pos="1982" w:val="left" w:leader="none"/>
          <w:tab w:pos="2529" w:val="left" w:leader="none"/>
          <w:tab w:pos="2937" w:val="left" w:leader="none"/>
        </w:tabs>
        <w:spacing w:line="207" w:lineRule="auto" w:before="5"/>
        <w:ind w:left="106" w:right="165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Autoprod.: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toit:</w:t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151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23.9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96.7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243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529" w:val="left" w:leader="none"/>
          <w:tab w:pos="2992" w:val="left" w:leader="none"/>
        </w:tabs>
        <w:spacing w:line="172" w:lineRule="exact" w:before="38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Bilan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énergétique</w:t>
      </w:r>
      <w:r>
        <w:rPr>
          <w:rFonts w:ascii="Theinhardt Regular" w:hAnsi="Theinhardt Regular"/>
          <w:color w:val="231F20"/>
          <w:spacing w:val="-4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(énergie</w:t>
      </w:r>
      <w:r>
        <w:rPr>
          <w:rFonts w:ascii="Theinhardt Bold" w:hAnsi="Theinhardt Bold"/>
          <w:b/>
          <w:color w:val="231F20"/>
          <w:sz w:val="14"/>
        </w:rPr>
        <w:t> fi </w:t>
      </w:r>
      <w:r>
        <w:rPr>
          <w:rFonts w:ascii="Theinhardt Bold" w:hAnsi="Theinhardt Bold"/>
          <w:b/>
          <w:color w:val="231F20"/>
          <w:spacing w:val="1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ale)</w:t>
        <w:tab/>
      </w:r>
      <w:r>
        <w:rPr>
          <w:rFonts w:ascii="Theinhardt Regular" w:hAnsi="Theinhardt Regular"/>
          <w:color w:val="231F20"/>
          <w:sz w:val="14"/>
        </w:rPr>
        <w:t>%</w:t>
        <w:tab/>
      </w:r>
      <w:r>
        <w:rPr>
          <w:rFonts w:ascii="Theinhardt Regular" w:hAnsi="Theinhardt Regular"/>
          <w:color w:val="231F20"/>
          <w:spacing w:val="-1"/>
          <w:sz w:val="14"/>
        </w:rPr>
        <w:t>kWh/a</w:t>
      </w:r>
      <w:r>
        <w:rPr>
          <w:rFonts w:ascii="Theinhardt Regular" w:hAnsi="Theinhardt Regular"/>
          <w:sz w:val="14"/>
        </w:rPr>
      </w:r>
    </w:p>
    <w:p>
      <w:pPr>
        <w:tabs>
          <w:tab w:pos="2404" w:val="left" w:leader="none"/>
          <w:tab w:pos="2937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énergétique: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243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14’600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3011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Total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énergétique: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6’000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3012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Surplus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d'electricité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solaire: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143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8’600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1"/>
        <w:rPr>
          <w:rFonts w:ascii="Theinhardt Bold" w:hAnsi="Theinhardt Bold" w:cs="Theinhardt Bold" w:eastAsia="Theinhardt Bold"/>
          <w:b/>
          <w:bCs/>
          <w:sz w:val="10"/>
          <w:szCs w:val="10"/>
        </w:rPr>
      </w:pPr>
    </w:p>
    <w:p>
      <w:pPr>
        <w:spacing w:line="160" w:lineRule="exact" w:before="0"/>
        <w:ind w:left="106" w:right="95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pacing w:val="-1"/>
          <w:sz w:val="14"/>
        </w:rPr>
        <w:t> Eli10 </w:t>
      </w:r>
      <w:r>
        <w:rPr>
          <w:rFonts w:ascii="Theinhardt Bold" w:hAnsi="Theinhardt Bold"/>
          <w:b/>
          <w:color w:val="231F20"/>
          <w:spacing w:val="1"/>
          <w:sz w:val="14"/>
        </w:rPr>
        <w:t>SA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07.06.2019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32</w:t>
      </w:r>
      <w:r>
        <w:rPr>
          <w:rFonts w:ascii="Theinhardt Regular" w:hAnsi="Theinhardt Regular"/>
          <w:color w:val="231F20"/>
          <w:sz w:val="14"/>
        </w:rPr>
        <w:t> 720 20 20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105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Spécifi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ations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techniques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5"/>
        <w:ind w:left="106" w:right="141" w:firstLine="0"/>
        <w:jc w:val="both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*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Conformément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à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l’art.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78, al. 2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Cst.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relation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avec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l’art.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4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Loi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fédérale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sur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protection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nature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du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paysage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(LPN)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lit.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a,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il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existe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(uniquement)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des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07" w:lineRule="auto" w:before="0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«objets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d’importance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nationale»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lit.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b,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des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«objets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d’importance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régionale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locale»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[cf.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art.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4,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lit.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a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b,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LPN,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451];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au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sens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la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législation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fédérale,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les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07" w:lineRule="auto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«inventaires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cantonaux»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sont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donc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irréguliers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et</w:t>
      </w:r>
      <w:r>
        <w:rPr>
          <w:rFonts w:ascii="Theinhardt Regular" w:hAnsi="Theinhardt Regular"/>
          <w:color w:val="231F20"/>
          <w:spacing w:val="4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légalement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inexistants.</w:t>
      </w:r>
      <w:r>
        <w:rPr>
          <w:rFonts w:ascii="Theinhardt Regular" w:hAnsi="Theinhardt Regular"/>
          <w:sz w:val="14"/>
        </w:rPr>
      </w:r>
    </w:p>
    <w:p>
      <w:pPr>
        <w:spacing w:before="95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> impliquées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Maître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d'ouvrage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et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Thierry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Grosjean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Place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des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Epancheurs</w:t>
      </w:r>
      <w:r>
        <w:rPr>
          <w:rFonts w:ascii="Theinhardt Regular"/>
          <w:color w:val="231F20"/>
          <w:sz w:val="14"/>
        </w:rPr>
        <w:t> 6, </w:t>
      </w:r>
      <w:r>
        <w:rPr>
          <w:rFonts w:ascii="Theinhardt Regular"/>
          <w:color w:val="231F20"/>
          <w:spacing w:val="-3"/>
          <w:sz w:val="14"/>
        </w:rPr>
        <w:t>2012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Milvignes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032 </w:t>
      </w:r>
      <w:r>
        <w:rPr>
          <w:rFonts w:ascii="Theinhardt Regular" w:hAnsi="Theinhardt Regular"/>
          <w:color w:val="231F20"/>
          <w:spacing w:val="-2"/>
          <w:sz w:val="14"/>
        </w:rPr>
        <w:t>731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15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39"/>
        <w:ind w:left="106" w:right="41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Hangar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viticole</w:t>
      </w:r>
      <w:r>
        <w:rPr>
          <w:rFonts w:ascii="Theinhardt Regular" w:hAnsi="Theinhardt Regular"/>
          <w:color w:val="231F20"/>
          <w:sz w:val="14"/>
        </w:rPr>
        <w:t> Le </w:t>
      </w:r>
      <w:r>
        <w:rPr>
          <w:rFonts w:ascii="Theinhardt Regular" w:hAnsi="Theinhardt Regular"/>
          <w:color w:val="231F20"/>
          <w:spacing w:val="2"/>
          <w:sz w:val="14"/>
        </w:rPr>
        <w:t>Corbet,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Château</w:t>
      </w:r>
      <w:r>
        <w:rPr>
          <w:rFonts w:ascii="Theinhardt Regular" w:hAnsi="Theinhardt Regular"/>
          <w:color w:val="231F20"/>
          <w:sz w:val="14"/>
        </w:rPr>
        <w:t> d'Auvernier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Pré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l'Etang,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2012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Milvignes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5">
        <w:r>
          <w:rPr>
            <w:rFonts w:ascii="Theinhardt Regular"/>
            <w:color w:val="231F20"/>
            <w:spacing w:val="1"/>
            <w:sz w:val="14"/>
          </w:rPr>
          <w:t>www.chateau-auvernier.ch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Ferblanterie,couverture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0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Gottburg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SA</w:t>
      </w:r>
      <w:r>
        <w:rPr>
          <w:rFonts w:ascii="Theinhardt Regular" w:hAnsi="Theinhardt Regular"/>
          <w:color w:val="231F20"/>
          <w:sz w:val="14"/>
        </w:rPr>
        <w:t> Toitures &amp; </w:t>
      </w:r>
      <w:r>
        <w:rPr>
          <w:rFonts w:ascii="Theinhardt Regular" w:hAnsi="Theinhardt Regular"/>
          <w:color w:val="231F20"/>
          <w:spacing w:val="1"/>
          <w:sz w:val="14"/>
        </w:rPr>
        <w:t>Façades</w:t>
      </w:r>
      <w:r>
        <w:rPr>
          <w:rFonts w:ascii="Theinhardt Regular" w:hAnsi="Theinhardt Regular"/>
          <w:color w:val="231F20"/>
          <w:spacing w:val="3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Francis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Gottburg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Rue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de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la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Gare</w:t>
      </w:r>
      <w:r>
        <w:rPr>
          <w:rFonts w:ascii="Theinhardt Regular"/>
          <w:color w:val="231F20"/>
          <w:sz w:val="14"/>
        </w:rPr>
        <w:t> 68, </w:t>
      </w:r>
      <w:r>
        <w:rPr>
          <w:rFonts w:ascii="Theinhardt Regular"/>
          <w:color w:val="231F20"/>
          <w:spacing w:val="-3"/>
          <w:sz w:val="14"/>
        </w:rPr>
        <w:t>2017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Boudry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32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846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16</w:t>
      </w:r>
      <w:r>
        <w:rPr>
          <w:rFonts w:ascii="Theinhardt Regular" w:hAnsi="Theinhardt Regular"/>
          <w:color w:val="231F20"/>
          <w:sz w:val="14"/>
        </w:rPr>
        <w:t> 30</w:t>
      </w:r>
      <w:hyperlink r:id="rId6">
        <w:r>
          <w:rPr>
            <w:rFonts w:ascii="Theinhardt Regular" w:hAnsi="Theinhardt Regular"/>
            <w:color w:val="231F20"/>
            <w:sz w:val="14"/>
          </w:rPr>
          <w:t>, </w:t>
        </w:r>
        <w:r>
          <w:rPr>
            <w:rFonts w:ascii="Theinhardt Regular" w:hAnsi="Theinhardt Regular"/>
            <w:color w:val="231F20"/>
            <w:spacing w:val="2"/>
            <w:sz w:val="14"/>
          </w:rPr>
          <w:t>marketing@gottburg.ch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Architecte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95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Atelier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d’Architecture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St-Nicolas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SA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Rue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St-Nicolas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1,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2006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Neuchâtel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032 </w:t>
      </w:r>
      <w:r>
        <w:rPr>
          <w:rFonts w:ascii="Theinhardt Regular" w:hAnsi="Theinhardt Regular"/>
          <w:color w:val="231F20"/>
          <w:spacing w:val="-1"/>
          <w:sz w:val="14"/>
        </w:rPr>
        <w:t>725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31</w:t>
      </w:r>
      <w:hyperlink r:id="rId7">
        <w:r>
          <w:rPr>
            <w:rFonts w:ascii="Theinhardt Regular" w:hAnsi="Theinhardt Regular"/>
            <w:color w:val="231F20"/>
            <w:spacing w:val="-4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info@aasn-archi.ch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Installateur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électrique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PV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Groupe-E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Connect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Route</w:t>
      </w:r>
      <w:r>
        <w:rPr>
          <w:rFonts w:ascii="Theinhardt Regular"/>
          <w:color w:val="231F20"/>
          <w:sz w:val="14"/>
        </w:rPr>
        <w:t> du </w:t>
      </w:r>
      <w:r>
        <w:rPr>
          <w:rFonts w:ascii="Theinhardt Regular"/>
          <w:color w:val="231F20"/>
          <w:spacing w:val="1"/>
          <w:sz w:val="14"/>
        </w:rPr>
        <w:t>Madelain</w:t>
      </w:r>
      <w:r>
        <w:rPr>
          <w:rFonts w:ascii="Theinhardt Regular"/>
          <w:color w:val="231F20"/>
          <w:sz w:val="14"/>
        </w:rPr>
        <w:t> 4, </w:t>
      </w:r>
      <w:r>
        <w:rPr>
          <w:rFonts w:ascii="Theinhardt Regular"/>
          <w:color w:val="231F20"/>
          <w:spacing w:val="-3"/>
          <w:sz w:val="14"/>
        </w:rPr>
        <w:t>1753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Matran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026 </w:t>
      </w:r>
      <w:r>
        <w:rPr>
          <w:rFonts w:ascii="Theinhardt Regular" w:hAnsi="Theinhardt Regular"/>
          <w:color w:val="231F20"/>
          <w:spacing w:val="-1"/>
          <w:sz w:val="14"/>
        </w:rPr>
        <w:t>429</w:t>
      </w:r>
      <w:r>
        <w:rPr>
          <w:rFonts w:ascii="Theinhardt Regular" w:hAnsi="Theinhardt Regular"/>
          <w:color w:val="231F20"/>
          <w:sz w:val="14"/>
        </w:rPr>
        <w:t> 29 </w:t>
      </w:r>
      <w:r>
        <w:rPr>
          <w:rFonts w:ascii="Theinhardt Regular" w:hAnsi="Theinhardt Regular"/>
          <w:color w:val="231F20"/>
          <w:spacing w:val="-1"/>
          <w:sz w:val="14"/>
        </w:rPr>
        <w:t>29</w:t>
      </w:r>
      <w:hyperlink r:id="rId8">
        <w:r>
          <w:rPr>
            <w:rFonts w:ascii="Theinhardt Regular" w:hAnsi="Theinhardt Regular"/>
            <w:color w:val="231F20"/>
            <w:spacing w:val="-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info@groupe-e.ch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Fournisseur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des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modules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I</w:t>
      </w:r>
      <w:r>
        <w:rPr>
          <w:rFonts w:ascii="Theinhardt Regular"/>
          <w:color w:val="231F20"/>
          <w:spacing w:val="4"/>
          <w:sz w:val="14"/>
        </w:rPr>
        <w:t>S</w:t>
      </w:r>
      <w:r>
        <w:rPr>
          <w:rFonts w:ascii="Theinhardt Regular"/>
          <w:color w:val="231F20"/>
          <w:spacing w:val="2"/>
          <w:sz w:val="14"/>
        </w:rPr>
        <w:t>SO</w:t>
      </w:r>
      <w:r>
        <w:rPr>
          <w:rFonts w:ascii="Theinhardt Regular"/>
          <w:color w:val="231F20"/>
          <w:sz w:val="14"/>
        </w:rPr>
        <w:t>L </w:t>
      </w:r>
      <w:r>
        <w:rPr>
          <w:rFonts w:ascii="Theinhardt Regular"/>
          <w:color w:val="231F20"/>
          <w:spacing w:val="2"/>
          <w:sz w:val="14"/>
        </w:rPr>
        <w:t>SA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du </w:t>
      </w:r>
      <w:r>
        <w:rPr>
          <w:rFonts w:ascii="Theinhardt Regular" w:hAnsi="Theinhardt Regular"/>
          <w:color w:val="231F20"/>
          <w:spacing w:val="1"/>
          <w:sz w:val="14"/>
        </w:rPr>
        <w:t>Progrès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18,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4821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Dison/Belgique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+32</w:t>
      </w:r>
      <w:r>
        <w:rPr>
          <w:rFonts w:ascii="Theinhardt Regular" w:hAnsi="Theinhardt Regular"/>
          <w:color w:val="231F20"/>
          <w:sz w:val="14"/>
        </w:rPr>
        <w:t> 087 33 </w:t>
      </w:r>
      <w:r>
        <w:rPr>
          <w:rFonts w:ascii="Theinhardt Regular" w:hAnsi="Theinhardt Regular"/>
          <w:color w:val="231F20"/>
          <w:spacing w:val="-2"/>
          <w:sz w:val="14"/>
        </w:rPr>
        <w:t>81</w:t>
      </w:r>
      <w:r>
        <w:rPr>
          <w:rFonts w:ascii="Theinhardt Regular" w:hAnsi="Theinhardt Regular"/>
          <w:color w:val="231F20"/>
          <w:sz w:val="14"/>
        </w:rPr>
        <w:t> 6</w:t>
      </w:r>
      <w:hyperlink r:id="rId9">
        <w:r>
          <w:rPr>
            <w:rFonts w:ascii="Theinhardt Regular" w:hAnsi="Theinhardt Regular"/>
            <w:color w:val="231F20"/>
            <w:sz w:val="14"/>
          </w:rPr>
          <w:t>4, </w:t>
        </w:r>
        <w:r>
          <w:rPr>
            <w:rFonts w:ascii="Theinhardt Regular" w:hAnsi="Theinhardt Regular"/>
            <w:color w:val="231F20"/>
            <w:spacing w:val="1"/>
            <w:sz w:val="14"/>
          </w:rPr>
          <w:t>infopv@issol.eu</w:t>
        </w:r>
        <w:r>
          <w:rPr>
            <w:rFonts w:ascii="Theinhardt Regular" w:hAns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59" w:space="113"/>
            <w:col w:w="3567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8"/>
          <w:szCs w:val="18"/>
        </w:rPr>
      </w:pPr>
    </w:p>
    <w:p>
      <w:pPr>
        <w:spacing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84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1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756092" cy="236162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092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153" w:lineRule="exact" w:before="0"/>
        <w:ind w:left="122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2.874001pt;margin-top:35.855999pt;width:523.7pt;height:236.7pt;mso-position-horizontal-relative:page;mso-position-vertical-relative:paragraph;z-index:-558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before="123"/>
                    <w:ind w:left="13" w:right="0" w:firstLine="0"/>
                    <w:jc w:val="left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1</w:t>
                  </w:r>
                  <w:r>
                    <w:rPr>
                      <w:rFonts w:ascii="Theinhardt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line="200" w:lineRule="atLeast"/>
        <w:ind w:left="117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3001" cy="301142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01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80"/>
        <w:ind w:left="10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3.228333pt;margin-top:34.534603pt;width:522.3pt;height:183.35pt;mso-position-horizontal-relative:page;mso-position-vertical-relative:paragraph;z-index:-56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Theinhardt Heavy" w:hAnsi="Theinhardt Heavy" w:cs="Theinhardt Heavy" w:eastAsia="Theinhardt Heavy"/>
                      <w:b/>
                      <w:bCs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4"/>
                    <w:rPr>
                      <w:rFonts w:ascii="Theinhardt Heavy" w:hAnsi="Theinhardt Heavy" w:cs="Theinhardt Heavy" w:eastAsia="Theinhardt Heavy"/>
                      <w:b/>
                      <w:bCs/>
                      <w:sz w:val="13"/>
                      <w:szCs w:val="13"/>
                    </w:rPr>
                  </w:pPr>
                </w:p>
                <w:p>
                  <w:pPr>
                    <w:tabs>
                      <w:tab w:pos="7738" w:val="left" w:leader="none"/>
                    </w:tabs>
                    <w:spacing w:before="0"/>
                    <w:ind w:left="14" w:right="0" w:firstLine="0"/>
                    <w:jc w:val="left"/>
                    <w:rPr>
                      <w:rFonts w:ascii="Theinhardt Bold" w:hAnsi="Theinhardt Bold" w:cs="Theinhardt Bold" w:eastAsia="Theinhardt Bold"/>
                      <w:sz w:val="14"/>
                      <w:szCs w:val="14"/>
                    </w:rPr>
                  </w:pPr>
                  <w:r>
                    <w:rPr>
                      <w:rFonts w:ascii="Theinhardt Bold"/>
                      <w:b/>
                      <w:color w:val="231F20"/>
                      <w:sz w:val="14"/>
                    </w:rPr>
                    <w:t>2</w:t>
                    <w:tab/>
                    <w:t>3</w:t>
                  </w:r>
                  <w:r>
                    <w:rPr>
                      <w:rFonts w:ascii="Theinhardt Bold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2"/>
          <w:szCs w:val="12"/>
        </w:rPr>
      </w:pPr>
    </w:p>
    <w:p>
      <w:pPr>
        <w:spacing w:line="200" w:lineRule="atLeast"/>
        <w:ind w:left="124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43493" cy="233172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49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8"/>
        <w:ind w:left="123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0"/>
          <w:szCs w:val="20"/>
        </w:rPr>
        <w:sectPr>
          <w:pgSz w:w="11910" w:h="16840"/>
          <w:pgMar w:top="880" w:bottom="280" w:left="740" w:right="460"/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numPr>
          <w:ilvl w:val="0"/>
          <w:numId w:val="1"/>
        </w:numPr>
        <w:tabs>
          <w:tab w:pos="366" w:val="left" w:leader="none"/>
        </w:tabs>
        <w:spacing w:line="160" w:lineRule="exact" w:before="0"/>
        <w:ind w:left="365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Le nouvel hangar viticole «Le Corbet» des Caves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du Château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d’Auvernier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(NE) avec l’installation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24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4"/>
          <w:szCs w:val="14"/>
        </w:rPr>
        <w:t>kW.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5"/>
          <w:szCs w:val="15"/>
        </w:rPr>
      </w:pPr>
      <w:r>
        <w:rPr/>
        <w:br w:type="column"/>
      </w:r>
      <w:r>
        <w:rPr>
          <w:rFonts w:ascii="Theinhardt Bold"/>
          <w:b/>
          <w:sz w:val="15"/>
        </w:rPr>
      </w:r>
    </w:p>
    <w:p>
      <w:pPr>
        <w:numPr>
          <w:ilvl w:val="0"/>
          <w:numId w:val="1"/>
        </w:numPr>
        <w:tabs>
          <w:tab w:pos="366" w:val="left" w:leader="none"/>
        </w:tabs>
        <w:spacing w:line="160" w:lineRule="exact" w:before="0"/>
        <w:ind w:left="365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L'installation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</w:t>
      </w:r>
      <w:r>
        <w:rPr>
          <w:rFonts w:ascii="Theinhardt Bold"/>
          <w:b/>
          <w:color w:val="231F20"/>
          <w:sz w:val="14"/>
        </w:rPr>
        <w:t> couleur </w:t>
      </w:r>
      <w:r>
        <w:rPr>
          <w:rFonts w:ascii="Theinhardt Bold"/>
          <w:b/>
          <w:color w:val="231F20"/>
          <w:spacing w:val="-1"/>
          <w:sz w:val="14"/>
        </w:rPr>
        <w:t>terre</w:t>
      </w:r>
      <w:r>
        <w:rPr>
          <w:rFonts w:ascii="Theinhardt Bold"/>
          <w:b/>
          <w:color w:val="231F20"/>
          <w:sz w:val="14"/>
        </w:rPr>
        <w:t> cuite en </w:t>
      </w:r>
      <w:r>
        <w:rPr>
          <w:rFonts w:ascii="Theinhardt Bold"/>
          <w:b/>
          <w:color w:val="231F20"/>
          <w:spacing w:val="-1"/>
          <w:sz w:val="14"/>
        </w:rPr>
        <w:t>raison</w:t>
      </w:r>
      <w:r>
        <w:rPr>
          <w:rFonts w:ascii="Theinhardt Bold"/>
          <w:b/>
          <w:color w:val="231F20"/>
          <w:spacing w:val="25"/>
          <w:sz w:val="14"/>
        </w:rPr>
        <w:t> </w:t>
      </w:r>
      <w:r>
        <w:rPr>
          <w:rFonts w:ascii="Theinhardt Bold"/>
          <w:b/>
          <w:color w:val="231F20"/>
          <w:sz w:val="14"/>
        </w:rPr>
        <w:t>des </w:t>
      </w:r>
      <w:r>
        <w:rPr>
          <w:rFonts w:ascii="Theinhardt Bold"/>
          <w:b/>
          <w:color w:val="231F20"/>
          <w:spacing w:val="-1"/>
          <w:sz w:val="14"/>
        </w:rPr>
        <w:t>exigences</w:t>
      </w:r>
      <w:r>
        <w:rPr>
          <w:rFonts w:ascii="Theinhardt Bold"/>
          <w:b/>
          <w:color w:val="231F20"/>
          <w:sz w:val="14"/>
        </w:rPr>
        <w:t> strictes </w:t>
      </w:r>
      <w:r>
        <w:rPr>
          <w:rFonts w:ascii="Theinhardt Bold"/>
          <w:b/>
          <w:color w:val="231F20"/>
          <w:spacing w:val="-1"/>
          <w:sz w:val="14"/>
        </w:rPr>
        <w:t>de</w:t>
      </w:r>
      <w:r>
        <w:rPr>
          <w:rFonts w:ascii="Theinhardt Bold"/>
          <w:b/>
          <w:color w:val="231F20"/>
          <w:sz w:val="14"/>
        </w:rPr>
        <w:t> construction.</w:t>
      </w:r>
      <w:r>
        <w:rPr>
          <w:rFonts w:ascii="Theinhardt Bold"/>
          <w:sz w:val="14"/>
        </w:rPr>
      </w: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5"/>
          <w:szCs w:val="15"/>
        </w:rPr>
      </w:pPr>
      <w:r>
        <w:rPr/>
        <w:br w:type="column"/>
      </w:r>
      <w:r>
        <w:rPr>
          <w:rFonts w:ascii="Theinhardt Bold"/>
          <w:b/>
          <w:sz w:val="15"/>
        </w:rPr>
      </w:r>
    </w:p>
    <w:p>
      <w:pPr>
        <w:numPr>
          <w:ilvl w:val="0"/>
          <w:numId w:val="1"/>
        </w:numPr>
        <w:tabs>
          <w:tab w:pos="366" w:val="left" w:leader="none"/>
        </w:tabs>
        <w:spacing w:line="160" w:lineRule="exact" w:before="0"/>
        <w:ind w:left="365" w:right="331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L’installation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est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bien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intégrée à la toiture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côté sud.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Photos © Gottburg SA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33" w:space="138"/>
            <w:col w:w="3417" w:space="155"/>
            <w:col w:w="356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6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85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Light Italic">
    <w:altName w:val="Theinhardt Light Italic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65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7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78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9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1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9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chateau-auvernier.ch/" TargetMode="External"/><Relationship Id="rId6" Type="http://schemas.openxmlformats.org/officeDocument/2006/relationships/hyperlink" Target="mailto:marketing@gottburg.ch" TargetMode="External"/><Relationship Id="rId7" Type="http://schemas.openxmlformats.org/officeDocument/2006/relationships/hyperlink" Target="mailto:info@aasn-archi.ch" TargetMode="External"/><Relationship Id="rId8" Type="http://schemas.openxmlformats.org/officeDocument/2006/relationships/hyperlink" Target="mailto:info@groupe-e.ch" TargetMode="External"/><Relationship Id="rId9" Type="http://schemas.openxmlformats.org/officeDocument/2006/relationships/hyperlink" Target="mailto:infopv@issol.e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2019-10-04T10:16:05Z</dcterms:created>
  <dcterms:modified xsi:type="dcterms:W3CDTF">2019-10-04T10:16:05Z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2019-10-04T00:00:00Z</vt:filetime>
  </property>
</Properties>
</file>