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2546" w:val="left" w:leader="none"/>
        </w:tabs>
        <w:spacing w:line="230" w:lineRule="exact" w:before="28"/>
        <w:ind w:left="106" w:right="0" w:firstLine="0"/>
        <w:jc w:val="both"/>
        <w:rPr>
          <w:rFonts w:ascii="Theinhardt Regular" w:hAnsi="Theinhardt Regular" w:cs="Theinhardt Regular" w:eastAsia="Theinhardt Regular"/>
          <w:sz w:val="18"/>
          <w:szCs w:val="18"/>
        </w:rPr>
      </w:pPr>
      <w:r>
        <w:rPr/>
        <w:pict>
          <v:group style="position:absolute;margin-left:28.559pt;margin-top:13.647326pt;width:.1pt;height:.1pt;mso-position-horizontal-relative:page;mso-position-vertical-relative:paragraph;z-index:-5368" coordorigin="571,273" coordsize="2,2">
            <v:shape style="position:absolute;left:571;top:273;width:2;height:2" coordorigin="571,273" coordsize="0,0" path="m571,273l571,27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150.731995pt;margin-top:13.647326pt;width:.1pt;height:.1pt;mso-position-horizontal-relative:page;mso-position-vertical-relative:paragraph;z-index:1096" coordorigin="3015,273" coordsize="2,2">
            <v:shape style="position:absolute;left:3015;top:273;width:2;height:2" coordorigin="3015,273" coordsize="0,0" path="m3015,273l3015,27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28.559pt;margin-top:25.147326pt;width:.1pt;height:.1pt;mso-position-horizontal-relative:page;mso-position-vertical-relative:paragraph;z-index:-5320" coordorigin="571,503" coordsize="2,2">
            <v:shape style="position:absolute;left:571;top:503;width:2;height:2" coordorigin="571,503" coordsize="0,0" path="m571,503l571,50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150.731995pt;margin-top:25.147326pt;width:.1pt;height:.1pt;mso-position-horizontal-relative:page;mso-position-vertical-relative:paragraph;z-index:1144" coordorigin="3015,503" coordsize="2,2">
            <v:shape style="position:absolute;left:3015;top:503;width:2;height:2" coordorigin="3015,503" coordsize="0,0" path="m3015,503l3015,503e" filled="false" stroked="true" strokeweight=".425pt" strokecolor="#231f20">
              <v:path arrowok="t"/>
            </v:shape>
            <w10:wrap type="none"/>
          </v:group>
        </w:pict>
      </w:r>
      <w:r>
        <w:rPr>
          <w:rFonts w:ascii="Theinhardt Heavy"/>
          <w:b/>
          <w:color w:val="231F20"/>
          <w:sz w:val="18"/>
        </w:rPr>
      </w:r>
      <w:r>
        <w:rPr>
          <w:rFonts w:ascii="Theinhardt Heavy"/>
          <w:b/>
          <w:color w:val="231F20"/>
          <w:sz w:val="18"/>
          <w:u w:val="dotted" w:color="231F20"/>
        </w:rPr>
        <w:t>Kategorie   </w:t>
      </w:r>
      <w:r>
        <w:rPr>
          <w:rFonts w:ascii="Theinhardt Heavy"/>
          <w:b/>
          <w:color w:val="231F20"/>
          <w:spacing w:val="9"/>
          <w:sz w:val="18"/>
          <w:u w:val="dotted" w:color="231F20"/>
        </w:rPr>
        <w:t> </w:t>
      </w:r>
      <w:r>
        <w:rPr>
          <w:rFonts w:ascii="Theinhardt Heavy"/>
          <w:b/>
          <w:color w:val="231F20"/>
          <w:sz w:val="18"/>
          <w:u w:val="dotted" w:color="231F20"/>
        </w:rPr>
        <w:t>C</w:t>
      </w:r>
      <w:r>
        <w:rPr>
          <w:rFonts w:ascii="Theinhardt Heavy"/>
          <w:b/>
          <w:color w:val="231F20"/>
          <w:sz w:val="18"/>
          <w:u w:val="dotted" w:color="231F20"/>
        </w:rPr>
        <w:t> </w:t>
        <w:tab/>
      </w:r>
      <w:r>
        <w:rPr>
          <w:rFonts w:ascii="Theinhardt Heavy"/>
          <w:b/>
          <w:color w:val="231F20"/>
          <w:sz w:val="18"/>
        </w:rPr>
      </w:r>
      <w:r>
        <w:rPr>
          <w:rFonts w:ascii="Theinhardt Heavy"/>
          <w:b/>
          <w:color w:val="231F20"/>
          <w:sz w:val="18"/>
        </w:rPr>
        <w:t> </w:t>
      </w:r>
      <w:r>
        <w:rPr>
          <w:rFonts w:ascii="Theinhardt Heavy"/>
          <w:b/>
          <w:color w:val="231F20"/>
          <w:spacing w:val="-1"/>
          <w:sz w:val="18"/>
          <w:u w:val="dotted" w:color="231F20"/>
        </w:rPr>
        <w:t>Energieanlagen</w:t>
      </w:r>
      <w:r>
        <w:rPr>
          <w:rFonts w:ascii="Theinhardt Heavy"/>
          <w:b/>
          <w:color w:val="231F20"/>
          <w:sz w:val="18"/>
          <w:u w:val="dotted" w:color="231F20"/>
        </w:rPr>
        <w:t> </w:t>
        <w:tab/>
      </w:r>
      <w:r>
        <w:rPr>
          <w:rFonts w:ascii="Theinhardt Heavy"/>
          <w:b/>
          <w:color w:val="231F20"/>
          <w:sz w:val="18"/>
        </w:rPr>
      </w:r>
      <w:r>
        <w:rPr>
          <w:rFonts w:ascii="Theinhardt Heavy"/>
          <w:b/>
          <w:color w:val="231F20"/>
          <w:spacing w:val="24"/>
          <w:sz w:val="18"/>
        </w:rPr>
        <w:t> </w:t>
      </w:r>
      <w:r>
        <w:rPr>
          <w:rFonts w:ascii="Theinhardt Regular"/>
          <w:color w:val="231F20"/>
          <w:spacing w:val="-1"/>
          <w:sz w:val="18"/>
        </w:rPr>
        <w:t>Schweizer</w:t>
      </w:r>
      <w:r>
        <w:rPr>
          <w:rFonts w:ascii="Theinhardt Regular"/>
          <w:color w:val="231F20"/>
          <w:sz w:val="18"/>
        </w:rPr>
        <w:t> </w:t>
      </w:r>
      <w:r>
        <w:rPr>
          <w:rFonts w:ascii="Theinhardt Regular"/>
          <w:color w:val="231F20"/>
          <w:spacing w:val="-1"/>
          <w:sz w:val="18"/>
        </w:rPr>
        <w:t>Solarpreis</w:t>
      </w:r>
      <w:r>
        <w:rPr>
          <w:rFonts w:ascii="Theinhardt Regular"/>
          <w:color w:val="231F20"/>
          <w:sz w:val="18"/>
        </w:rPr>
        <w:t> 2019</w:t>
      </w:r>
      <w:r>
        <w:rPr>
          <w:rFonts w:ascii="Theinhardt Regular"/>
          <w:sz w:val="18"/>
        </w:rPr>
      </w:r>
    </w:p>
    <w:p>
      <w:pPr>
        <w:spacing w:line="230" w:lineRule="exact" w:before="28"/>
        <w:ind w:left="106" w:right="107" w:firstLine="0"/>
        <w:jc w:val="both"/>
        <w:rPr>
          <w:rFonts w:ascii="Theinhardt Bold" w:hAnsi="Theinhardt Bold" w:cs="Theinhardt Bold" w:eastAsia="Theinhardt Bold"/>
          <w:sz w:val="18"/>
          <w:szCs w:val="18"/>
        </w:rPr>
      </w:pPr>
      <w:r>
        <w:rPr/>
        <w:br w:type="column"/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0.38</w:t>
      </w:r>
      <w:r>
        <w:rPr>
          <w:rFonts w:ascii="Theinhardt Bold" w:hAnsi="Theinhardt Bold" w:cs="Theinhardt Bold" w:eastAsia="Theinhardt Bold"/>
          <w:b/>
          <w:bCs/>
          <w:color w:val="231F20"/>
          <w:spacing w:val="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MW</w:t>
      </w:r>
      <w:r>
        <w:rPr>
          <w:rFonts w:ascii="Theinhardt Bold" w:hAnsi="Theinhardt Bold" w:cs="Theinhardt Bold" w:eastAsia="Theinhardt Bold"/>
          <w:b/>
          <w:bCs/>
          <w:color w:val="231F20"/>
          <w:spacing w:val="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starke</w:t>
      </w:r>
      <w:r>
        <w:rPr>
          <w:rFonts w:ascii="Theinhardt Bold" w:hAnsi="Theinhardt Bold" w:cs="Theinhardt Bold" w:eastAsia="Theinhardt Bold"/>
          <w:b/>
          <w:bCs/>
          <w:color w:val="231F20"/>
          <w:spacing w:val="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PV-Dachanlage</w:t>
      </w:r>
      <w:r>
        <w:rPr>
          <w:rFonts w:ascii="Theinhardt Bold" w:hAnsi="Theinhardt Bold" w:cs="Theinhardt Bold" w:eastAsia="Theinhardt Bold"/>
          <w:b/>
          <w:bCs/>
          <w:color w:val="231F20"/>
          <w:spacing w:val="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auf</w:t>
      </w:r>
      <w:r>
        <w:rPr>
          <w:rFonts w:ascii="Theinhardt Bold" w:hAnsi="Theinhardt Bold" w:cs="Theinhardt Bold" w:eastAsia="Theinhardt Bold"/>
          <w:b/>
          <w:bCs/>
          <w:color w:val="231F20"/>
          <w:spacing w:val="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pacing w:val="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Eishalle</w:t>
      </w:r>
      <w:r>
        <w:rPr>
          <w:rFonts w:ascii="Theinhardt Bold" w:hAnsi="Theinhardt Bold" w:cs="Theinhardt Bold" w:eastAsia="Theinhardt Bold"/>
          <w:b/>
          <w:bCs/>
          <w:color w:val="231F20"/>
          <w:spacing w:val="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des</w:t>
      </w:r>
      <w:r>
        <w:rPr>
          <w:rFonts w:ascii="Theinhardt Bold" w:hAnsi="Theinhardt Bold" w:cs="Theinhardt Bold" w:eastAsia="Theinhardt Bold"/>
          <w:b/>
          <w:bCs/>
          <w:color w:val="231F20"/>
          <w:spacing w:val="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Schüwo</w:t>
      </w:r>
      <w:r>
        <w:rPr>
          <w:rFonts w:ascii="Theinhardt Bold" w:hAnsi="Theinhardt Bold" w:cs="Theinhardt Bold" w:eastAsia="Theinhardt Bold"/>
          <w:b/>
          <w:bCs/>
          <w:color w:val="231F20"/>
          <w:spacing w:val="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Parks</w:t>
      </w:r>
      <w:r>
        <w:rPr>
          <w:rFonts w:ascii="Theinhardt Bold" w:hAnsi="Theinhardt Bold" w:cs="Theinhardt Bold" w:eastAsia="Theinhardt Bold"/>
          <w:b/>
          <w:bCs/>
          <w:color w:val="231F20"/>
          <w:spacing w:val="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in</w:t>
      </w:r>
      <w:r>
        <w:rPr>
          <w:rFonts w:ascii="Theinhardt Bold" w:hAnsi="Theinhardt Bold" w:cs="Theinhardt Bold" w:eastAsia="Theinhardt Bold"/>
          <w:b/>
          <w:bCs/>
          <w:color w:val="231F20"/>
          <w:spacing w:val="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Wohlen</w:t>
      </w:r>
      <w:r>
        <w:rPr>
          <w:rFonts w:ascii="Theinhardt Bold" w:hAnsi="Theinhardt Bold" w:cs="Theinhardt Bold" w:eastAsia="Theinhardt Bold"/>
          <w:b/>
          <w:bCs/>
          <w:color w:val="231F20"/>
          <w:spacing w:val="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im</w:t>
      </w:r>
      <w:r>
        <w:rPr>
          <w:rFonts w:ascii="Theinhardt Bold" w:hAnsi="Theinhardt Bold" w:cs="Theinhardt Bold" w:eastAsia="Theinhardt Bold"/>
          <w:b/>
          <w:bCs/>
          <w:color w:val="231F20"/>
          <w:spacing w:val="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Kanton</w:t>
      </w:r>
      <w:r>
        <w:rPr>
          <w:rFonts w:ascii="Theinhardt Bold" w:hAnsi="Theinhardt Bold" w:cs="Theinhardt Bold" w:eastAsia="Theinhardt Bold"/>
          <w:b/>
          <w:bCs/>
          <w:color w:val="231F20"/>
          <w:spacing w:val="5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Aargau</w:t>
      </w:r>
      <w:r>
        <w:rPr>
          <w:rFonts w:ascii="Theinhardt Bold" w:hAnsi="Theinhardt Bold" w:cs="Theinhardt Bold" w:eastAsia="Theinhardt Bold"/>
          <w:b/>
          <w:bCs/>
          <w:color w:val="231F20"/>
          <w:spacing w:val="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ist</w:t>
      </w:r>
      <w:r>
        <w:rPr>
          <w:rFonts w:ascii="Theinhardt Bold" w:hAnsi="Theinhardt Bold" w:cs="Theinhardt Bold" w:eastAsia="Theinhardt Bold"/>
          <w:b/>
          <w:bCs/>
          <w:color w:val="231F20"/>
          <w:spacing w:val="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gut</w:t>
      </w:r>
      <w:r>
        <w:rPr>
          <w:rFonts w:ascii="Theinhardt Bold" w:hAnsi="Theinhardt Bold" w:cs="Theinhardt Bold" w:eastAsia="Theinhardt Bold"/>
          <w:b/>
          <w:bCs/>
          <w:color w:val="231F20"/>
          <w:spacing w:val="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integriert</w:t>
      </w:r>
      <w:r>
        <w:rPr>
          <w:rFonts w:ascii="Theinhardt Bold" w:hAnsi="Theinhardt Bold" w:cs="Theinhardt Bold" w:eastAsia="Theinhardt Bold"/>
          <w:b/>
          <w:bCs/>
          <w:color w:val="231F20"/>
          <w:spacing w:val="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und</w:t>
      </w:r>
      <w:r>
        <w:rPr>
          <w:rFonts w:ascii="Theinhardt Bold" w:hAnsi="Theinhardt Bold" w:cs="Theinhardt Bold" w:eastAsia="Theinhardt Bold"/>
          <w:b/>
          <w:bCs/>
          <w:color w:val="231F20"/>
          <w:spacing w:val="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liefert</w:t>
      </w:r>
      <w:r>
        <w:rPr>
          <w:rFonts w:ascii="Theinhardt Bold" w:hAnsi="Theinhardt Bold" w:cs="Theinhardt Bold" w:eastAsia="Theinhardt Bold"/>
          <w:b/>
          <w:bCs/>
          <w:color w:val="231F20"/>
          <w:spacing w:val="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Solarstrom.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Fenster</w:t>
      </w:r>
      <w:r>
        <w:rPr>
          <w:rFonts w:ascii="Theinhardt Bold" w:hAnsi="Theinhardt Bold" w:cs="Theinhardt Bold" w:eastAsia="Theinhardt Bold"/>
          <w:b/>
          <w:bCs/>
          <w:color w:val="231F20"/>
          <w:spacing w:val="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und</w:t>
      </w:r>
      <w:r>
        <w:rPr>
          <w:rFonts w:ascii="Theinhardt Bold" w:hAnsi="Theinhardt Bold" w:cs="Theinhardt Bold" w:eastAsia="Theinhardt Bold"/>
          <w:b/>
          <w:bCs/>
          <w:color w:val="231F20"/>
          <w:spacing w:val="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Lichtbänder</w:t>
      </w:r>
      <w:r>
        <w:rPr>
          <w:rFonts w:ascii="Theinhardt Bold" w:hAnsi="Theinhardt Bold" w:cs="Theinhardt Bold" w:eastAsia="Theinhardt Bold"/>
          <w:b/>
          <w:bCs/>
          <w:color w:val="231F20"/>
          <w:spacing w:val="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sorgen</w:t>
      </w:r>
      <w:r>
        <w:rPr>
          <w:rFonts w:ascii="Theinhardt Bold" w:hAnsi="Theinhardt Bold" w:cs="Theinhardt Bold" w:eastAsia="Theinhardt Bold"/>
          <w:b/>
          <w:bCs/>
          <w:color w:val="231F20"/>
          <w:spacing w:val="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für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Tageslicht</w:t>
      </w:r>
      <w:r>
        <w:rPr>
          <w:rFonts w:ascii="Theinhardt Bold" w:hAnsi="Theinhardt Bold" w:cs="Theinhardt Bold" w:eastAsia="Theinhardt Bold"/>
          <w:b/>
          <w:bCs/>
          <w:color w:val="231F20"/>
          <w:spacing w:val="8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für</w:t>
      </w:r>
      <w:r>
        <w:rPr>
          <w:rFonts w:ascii="Theinhardt Bold" w:hAnsi="Theinhardt Bold" w:cs="Theinhardt Bold" w:eastAsia="Theinhardt Bold"/>
          <w:b/>
          <w:bCs/>
          <w:color w:val="231F20"/>
          <w:spacing w:val="1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das</w:t>
      </w:r>
      <w:r>
        <w:rPr>
          <w:rFonts w:ascii="Theinhardt Bold" w:hAnsi="Theinhardt Bold" w:cs="Theinhardt Bold" w:eastAsia="Theinhardt Bold"/>
          <w:b/>
          <w:bCs/>
          <w:color w:val="231F20"/>
          <w:spacing w:val="1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Gebäudeinnere.</w:t>
      </w:r>
      <w:r>
        <w:rPr>
          <w:rFonts w:ascii="Theinhardt Bold" w:hAnsi="Theinhardt Bold" w:cs="Theinhardt Bold" w:eastAsia="Theinhardt Bold"/>
          <w:b/>
          <w:bCs/>
          <w:color w:val="231F20"/>
          <w:spacing w:val="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Dadurch</w:t>
      </w:r>
      <w:r>
        <w:rPr>
          <w:rFonts w:ascii="Theinhardt Bold" w:hAnsi="Theinhardt Bold" w:cs="Theinhardt Bold" w:eastAsia="Theinhardt Bold"/>
          <w:b/>
          <w:bCs/>
          <w:color w:val="231F20"/>
          <w:spacing w:val="1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spart</w:t>
      </w:r>
      <w:r>
        <w:rPr>
          <w:rFonts w:ascii="Theinhardt Bold" w:hAnsi="Theinhardt Bold" w:cs="Theinhardt Bold" w:eastAsia="Theinhardt Bold"/>
          <w:b/>
          <w:bCs/>
          <w:color w:val="231F20"/>
          <w:spacing w:val="1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1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Eishalle</w:t>
      </w:r>
      <w:r>
        <w:rPr>
          <w:rFonts w:ascii="Theinhardt Bold" w:hAnsi="Theinhardt Bold" w:cs="Theinhardt Bold" w:eastAsia="Theinhardt Bold"/>
          <w:b/>
          <w:bCs/>
          <w:color w:val="231F20"/>
          <w:spacing w:val="1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Beleuchtungskosten</w:t>
      </w:r>
      <w:r>
        <w:rPr>
          <w:rFonts w:ascii="Theinhardt Bold" w:hAnsi="Theinhardt Bold" w:cs="Theinhardt Bold" w:eastAsia="Theinhardt Bold"/>
          <w:b/>
          <w:bCs/>
          <w:color w:val="231F20"/>
          <w:spacing w:val="1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und</w:t>
      </w:r>
      <w:r>
        <w:rPr>
          <w:rFonts w:ascii="Theinhardt Bold" w:hAnsi="Theinhardt Bold" w:cs="Theinhardt Bold" w:eastAsia="Theinhardt Bold"/>
          <w:b/>
          <w:bCs/>
          <w:color w:val="231F20"/>
          <w:spacing w:val="1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Energie.</w:t>
      </w:r>
      <w:r>
        <w:rPr>
          <w:rFonts w:ascii="Theinhardt Bold" w:hAnsi="Theinhardt Bold" w:cs="Theinhardt Bold" w:eastAsia="Theinhardt Bold"/>
          <w:b/>
          <w:bCs/>
          <w:color w:val="231F20"/>
          <w:spacing w:val="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Jährlich</w:t>
      </w:r>
      <w:r>
        <w:rPr>
          <w:rFonts w:ascii="Theinhardt Bold" w:hAnsi="Theinhardt Bold" w:cs="Theinhardt Bold" w:eastAsia="Theinhardt Bold"/>
          <w:b/>
          <w:bCs/>
          <w:color w:val="231F20"/>
          <w:spacing w:val="7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generiert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378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kW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starke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PV-Anlage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rund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379’400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kWh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oder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67%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des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Gesamtenergiebedarfs</w:t>
      </w:r>
      <w:r>
        <w:rPr>
          <w:rFonts w:ascii="Theinhardt Bold" w:hAnsi="Theinhardt Bold" w:cs="Theinhardt Bold" w:eastAsia="Theinhardt Bold"/>
          <w:b/>
          <w:bCs/>
          <w:color w:val="231F20"/>
          <w:spacing w:val="2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von</w:t>
      </w:r>
      <w:r>
        <w:rPr>
          <w:rFonts w:ascii="Theinhardt Bold" w:hAnsi="Theinhardt Bold" w:cs="Theinhardt Bold" w:eastAsia="Theinhardt Bold"/>
          <w:b/>
          <w:bCs/>
          <w:color w:val="231F20"/>
          <w:spacing w:val="-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570’000</w:t>
      </w:r>
      <w:r>
        <w:rPr>
          <w:rFonts w:ascii="Theinhardt Bold" w:hAnsi="Theinhardt Bold" w:cs="Theinhardt Bold" w:eastAsia="Theinhardt Bold"/>
          <w:b/>
          <w:bCs/>
          <w:color w:val="231F20"/>
          <w:spacing w:val="-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kWh/a</w:t>
      </w:r>
      <w:r>
        <w:rPr>
          <w:rFonts w:ascii="Theinhardt Bold" w:hAnsi="Theinhardt Bold" w:cs="Theinhardt Bold" w:eastAsia="Theinhardt Bold"/>
          <w:b/>
          <w:bCs/>
          <w:color w:val="231F20"/>
          <w:spacing w:val="-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für</w:t>
      </w:r>
      <w:r>
        <w:rPr>
          <w:rFonts w:ascii="Theinhardt Bold" w:hAnsi="Theinhardt Bold" w:cs="Theinhardt Bold" w:eastAsia="Theinhardt Bold"/>
          <w:b/>
          <w:bCs/>
          <w:color w:val="231F20"/>
          <w:spacing w:val="-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das</w:t>
      </w:r>
      <w:r>
        <w:rPr>
          <w:rFonts w:ascii="Theinhardt Bold" w:hAnsi="Theinhardt Bold" w:cs="Theinhardt Bold" w:eastAsia="Theinhardt Bold"/>
          <w:b/>
          <w:bCs/>
          <w:color w:val="231F20"/>
          <w:spacing w:val="-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Sportareal</w:t>
      </w:r>
      <w:r>
        <w:rPr>
          <w:rFonts w:ascii="Theinhardt Bold" w:hAnsi="Theinhardt Bold" w:cs="Theinhardt Bold" w:eastAsia="Theinhardt Bold"/>
          <w:b/>
          <w:bCs/>
          <w:color w:val="231F20"/>
          <w:spacing w:val="-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mit</w:t>
      </w:r>
      <w:r>
        <w:rPr>
          <w:rFonts w:ascii="Theinhardt Bold" w:hAnsi="Theinhardt Bold" w:cs="Theinhardt Bold" w:eastAsia="Theinhardt Bold"/>
          <w:b/>
          <w:bCs/>
          <w:color w:val="231F20"/>
          <w:spacing w:val="-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Eishalle,</w:t>
      </w:r>
      <w:r>
        <w:rPr>
          <w:rFonts w:ascii="Theinhardt Bold" w:hAnsi="Theinhardt Bold" w:cs="Theinhardt Bold" w:eastAsia="Theinhardt 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Freibad,</w:t>
      </w:r>
      <w:r>
        <w:rPr>
          <w:rFonts w:ascii="Theinhardt Bold" w:hAnsi="Theinhardt Bold" w:cs="Theinhardt Bold" w:eastAsia="Theinhardt 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Gastro</w:t>
      </w:r>
      <w:r>
        <w:rPr>
          <w:rFonts w:ascii="Theinhardt Bold" w:hAnsi="Theinhardt Bold" w:cs="Theinhardt Bold" w:eastAsia="Theinhardt Bold"/>
          <w:b/>
          <w:bCs/>
          <w:color w:val="231F20"/>
          <w:spacing w:val="-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und</w:t>
      </w:r>
      <w:r>
        <w:rPr>
          <w:rFonts w:ascii="Theinhardt Bold" w:hAnsi="Theinhardt Bold" w:cs="Theinhardt Bold" w:eastAsia="Theinhardt Bold"/>
          <w:b/>
          <w:bCs/>
          <w:color w:val="231F20"/>
          <w:spacing w:val="-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Sport.</w:t>
      </w:r>
      <w:r>
        <w:rPr>
          <w:rFonts w:ascii="Theinhardt Bold" w:hAnsi="Theinhardt Bold" w:cs="Theinhardt Bold" w:eastAsia="Theinhardt 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-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IB</w:t>
      </w:r>
      <w:r>
        <w:rPr>
          <w:rFonts w:ascii="Theinhardt Bold" w:hAnsi="Theinhardt Bold" w:cs="Theinhardt Bold" w:eastAsia="Theinhardt Bold"/>
          <w:b/>
          <w:bCs/>
          <w:color w:val="231F20"/>
          <w:spacing w:val="-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Wohlen</w:t>
      </w:r>
      <w:r>
        <w:rPr>
          <w:rFonts w:ascii="Theinhardt Bold" w:hAnsi="Theinhardt Bold" w:cs="Theinhardt Bold" w:eastAsia="Theinhardt Bold"/>
          <w:b/>
          <w:bCs/>
          <w:color w:val="231F20"/>
          <w:spacing w:val="-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AG</w:t>
      </w:r>
      <w:r>
        <w:rPr>
          <w:rFonts w:ascii="Theinhardt Bold" w:hAnsi="Theinhardt Bold" w:cs="Theinhardt Bold" w:eastAsia="Theinhardt Bold"/>
          <w:b/>
          <w:bCs/>
          <w:color w:val="231F20"/>
          <w:spacing w:val="3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(ibw)</w:t>
      </w:r>
      <w:r>
        <w:rPr>
          <w:rFonts w:ascii="Theinhardt Bold" w:hAnsi="Theinhardt Bold" w:cs="Theinhardt Bold" w:eastAsia="Theinhardt Bold"/>
          <w:b/>
          <w:bCs/>
          <w:color w:val="231F20"/>
          <w:spacing w:val="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ist</w:t>
      </w:r>
      <w:r>
        <w:rPr>
          <w:rFonts w:ascii="Theinhardt Bold" w:hAnsi="Theinhardt Bold" w:cs="Theinhardt Bold" w:eastAsia="Theinhardt Bold"/>
          <w:b/>
          <w:bCs/>
          <w:color w:val="231F20"/>
          <w:spacing w:val="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bestrebt,</w:t>
      </w:r>
      <w:r>
        <w:rPr>
          <w:rFonts w:ascii="Theinhardt Bold" w:hAnsi="Theinhardt Bold" w:cs="Theinhardt Bold" w:eastAsia="Theinhardt Bold"/>
          <w:b/>
          <w:bCs/>
          <w:color w:val="231F20"/>
          <w:spacing w:val="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den</w:t>
      </w:r>
      <w:r>
        <w:rPr>
          <w:rFonts w:ascii="Theinhardt Bold" w:hAnsi="Theinhardt Bold" w:cs="Theinhardt Bold" w:eastAsia="Theinhardt Bold"/>
          <w:b/>
          <w:bCs/>
          <w:color w:val="231F20"/>
          <w:spacing w:val="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Solarstromanteil</w:t>
      </w:r>
      <w:r>
        <w:rPr>
          <w:rFonts w:ascii="Theinhardt Bold" w:hAnsi="Theinhardt Bold" w:cs="Theinhardt Bold" w:eastAsia="Theinhardt Bold"/>
          <w:b/>
          <w:bCs/>
          <w:color w:val="231F20"/>
          <w:spacing w:val="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in</w:t>
      </w:r>
      <w:r>
        <w:rPr>
          <w:rFonts w:ascii="Theinhardt Bold" w:hAnsi="Theinhardt Bold" w:cs="Theinhardt Bold" w:eastAsia="Theinhardt Bold"/>
          <w:b/>
          <w:bCs/>
          <w:color w:val="231F20"/>
          <w:spacing w:val="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pacing w:val="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Gemeinde</w:t>
      </w:r>
      <w:r>
        <w:rPr>
          <w:rFonts w:ascii="Theinhardt Bold" w:hAnsi="Theinhardt Bold" w:cs="Theinhardt Bold" w:eastAsia="Theinhardt Bold"/>
          <w:b/>
          <w:bCs/>
          <w:color w:val="231F20"/>
          <w:spacing w:val="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Wohlen</w:t>
      </w:r>
      <w:r>
        <w:rPr>
          <w:rFonts w:ascii="Theinhardt Bold" w:hAnsi="Theinhardt Bold" w:cs="Theinhardt Bold" w:eastAsia="Theinhardt Bold"/>
          <w:b/>
          <w:bCs/>
          <w:color w:val="231F20"/>
          <w:spacing w:val="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kontinuierlich</w:t>
      </w:r>
      <w:r>
        <w:rPr>
          <w:rFonts w:ascii="Theinhardt Bold" w:hAnsi="Theinhardt Bold" w:cs="Theinhardt Bold" w:eastAsia="Theinhardt Bold"/>
          <w:b/>
          <w:bCs/>
          <w:color w:val="231F20"/>
          <w:spacing w:val="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zu</w:t>
      </w:r>
      <w:r>
        <w:rPr>
          <w:rFonts w:ascii="Theinhardt Bold" w:hAnsi="Theinhardt Bold" w:cs="Theinhardt Bold" w:eastAsia="Theinhardt Bold"/>
          <w:b/>
          <w:bCs/>
          <w:color w:val="231F20"/>
          <w:spacing w:val="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steigern.</w:t>
      </w:r>
      <w:r>
        <w:rPr>
          <w:rFonts w:ascii="Theinhardt Bold" w:hAnsi="Theinhardt Bold" w:cs="Theinhardt Bold" w:eastAsia="Theinhardt Bold"/>
          <w:b/>
          <w:bCs/>
          <w:color w:val="231F20"/>
          <w:spacing w:val="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In</w:t>
      </w:r>
      <w:r>
        <w:rPr>
          <w:rFonts w:ascii="Theinhardt Bold" w:hAnsi="Theinhardt Bold" w:cs="Theinhardt Bold" w:eastAsia="Theinhardt Bold"/>
          <w:b/>
          <w:bCs/>
          <w:color w:val="231F20"/>
          <w:spacing w:val="9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Gemeinde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Wohlen,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bereits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2013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als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erste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Schweizer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Gemeinde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eine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hervorragend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kon-</w:t>
      </w:r>
      <w:r>
        <w:rPr>
          <w:rFonts w:ascii="Theinhardt Bold" w:hAnsi="Theinhardt Bold" w:cs="Theinhardt Bold" w:eastAsia="Theinhardt Bold"/>
          <w:b/>
          <w:bCs/>
          <w:color w:val="231F20"/>
          <w:spacing w:val="6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zipierte</w:t>
      </w:r>
      <w:r>
        <w:rPr>
          <w:rFonts w:ascii="Theinhardt Bold" w:hAnsi="Theinhardt Bold" w:cs="Theinhardt Bold" w:eastAsia="Theinhardt Bold"/>
          <w:b/>
          <w:bCs/>
          <w:color w:val="231F20"/>
          <w:spacing w:val="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und</w:t>
      </w:r>
      <w:r>
        <w:rPr>
          <w:rFonts w:ascii="Theinhardt Bold" w:hAnsi="Theinhardt Bold" w:cs="Theinhardt Bold" w:eastAsia="Theinhardt Bold"/>
          <w:b/>
          <w:bCs/>
          <w:color w:val="231F20"/>
          <w:spacing w:val="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vorbildlich</w:t>
      </w:r>
      <w:r>
        <w:rPr>
          <w:rFonts w:ascii="Theinhardt Bold" w:hAnsi="Theinhardt Bold" w:cs="Theinhardt Bold" w:eastAsia="Theinhardt Bold"/>
          <w:b/>
          <w:bCs/>
          <w:color w:val="231F20"/>
          <w:spacing w:val="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integrierte</w:t>
      </w:r>
      <w:r>
        <w:rPr>
          <w:rFonts w:ascii="Theinhardt Bold" w:hAnsi="Theinhardt Bold" w:cs="Theinhardt Bold" w:eastAsia="Theinhardt Bold"/>
          <w:b/>
          <w:bCs/>
          <w:color w:val="231F20"/>
          <w:spacing w:val="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2.9</w:t>
      </w:r>
      <w:r>
        <w:rPr>
          <w:rFonts w:ascii="Theinhardt Bold" w:hAnsi="Theinhardt Bold" w:cs="Theinhardt Bold" w:eastAsia="Theinhardt Bold"/>
          <w:b/>
          <w:bCs/>
          <w:color w:val="231F20"/>
          <w:spacing w:val="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MW</w:t>
      </w:r>
      <w:r>
        <w:rPr>
          <w:rFonts w:ascii="Theinhardt Bold" w:hAnsi="Theinhardt Bold" w:cs="Theinhardt Bold" w:eastAsia="Theinhardt Bold"/>
          <w:b/>
          <w:bCs/>
          <w:color w:val="231F20"/>
          <w:spacing w:val="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starke</w:t>
      </w:r>
      <w:r>
        <w:rPr>
          <w:rFonts w:ascii="Theinhardt Bold" w:hAnsi="Theinhardt Bold" w:cs="Theinhardt Bold" w:eastAsia="Theinhardt Bold"/>
          <w:b/>
          <w:bCs/>
          <w:color w:val="231F20"/>
          <w:spacing w:val="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PV-Anlage</w:t>
      </w:r>
      <w:r>
        <w:rPr>
          <w:rFonts w:ascii="Theinhardt Bold" w:hAnsi="Theinhardt Bold" w:cs="Theinhardt Bold" w:eastAsia="Theinhardt Bold"/>
          <w:b/>
          <w:bCs/>
          <w:color w:val="231F20"/>
          <w:spacing w:val="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inkl.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Tageslichtnutzung</w:t>
      </w:r>
      <w:r>
        <w:rPr>
          <w:rFonts w:ascii="Theinhardt Bold" w:hAnsi="Theinhardt Bold" w:cs="Theinhardt Bold" w:eastAsia="Theinhardt Bold"/>
          <w:b/>
          <w:bCs/>
          <w:color w:val="231F20"/>
          <w:spacing w:val="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in</w:t>
      </w:r>
      <w:r>
        <w:rPr>
          <w:rFonts w:ascii="Theinhardt Bold" w:hAnsi="Theinhardt Bold" w:cs="Theinhardt Bold" w:eastAsia="Theinhardt Bold"/>
          <w:b/>
          <w:bCs/>
          <w:color w:val="231F20"/>
          <w:spacing w:val="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Betrieb</w:t>
      </w:r>
      <w:r>
        <w:rPr>
          <w:rFonts w:ascii="Theinhardt Bold" w:hAnsi="Theinhardt Bold" w:cs="Theinhardt Bold" w:eastAsia="Theinhardt Bold"/>
          <w:b/>
          <w:bCs/>
          <w:color w:val="231F20"/>
          <w:spacing w:val="7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nahm,</w:t>
      </w:r>
      <w:r>
        <w:rPr>
          <w:rFonts w:ascii="Theinhardt Bold" w:hAnsi="Theinhardt Bold" w:cs="Theinhardt Bold" w:eastAsia="Theinhardt Bold"/>
          <w:b/>
          <w:bCs/>
          <w:color w:val="231F20"/>
          <w:spacing w:val="-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betreibt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ibw mittlerweile rund 20 Anlagen auf privaten und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öffentlichen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Bauten.</w:t>
      </w:r>
      <w:r>
        <w:rPr>
          <w:rFonts w:ascii="Theinhardt Bold" w:hAnsi="Theinhardt Bold" w:cs="Theinhardt Bold" w:eastAsia="Theinhardt Bold"/>
          <w:sz w:val="18"/>
          <w:szCs w:val="18"/>
        </w:rPr>
      </w:r>
    </w:p>
    <w:p>
      <w:pPr>
        <w:spacing w:after="0" w:line="230" w:lineRule="exact"/>
        <w:jc w:val="both"/>
        <w:rPr>
          <w:rFonts w:ascii="Theinhardt Bold" w:hAnsi="Theinhardt Bold" w:cs="Theinhardt Bold" w:eastAsia="Theinhardt Bold"/>
          <w:sz w:val="18"/>
          <w:szCs w:val="18"/>
        </w:rPr>
        <w:sectPr>
          <w:type w:val="continuous"/>
          <w:pgSz w:w="11910" w:h="16840"/>
          <w:pgMar w:top="840" w:bottom="280" w:left="460" w:right="740"/>
          <w:cols w:num="2" w:equalWidth="0">
            <w:col w:w="2547" w:space="132"/>
            <w:col w:w="8031"/>
          </w:cols>
        </w:sect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1"/>
        <w:rPr>
          <w:rFonts w:ascii="Theinhardt Bold" w:hAnsi="Theinhardt Bold" w:cs="Theinhardt Bold" w:eastAsia="Theinhardt Bold"/>
          <w:b/>
          <w:bCs/>
          <w:sz w:val="26"/>
          <w:szCs w:val="26"/>
        </w:rPr>
      </w:pPr>
    </w:p>
    <w:p>
      <w:pPr>
        <w:spacing w:before="5"/>
        <w:ind w:left="106" w:right="0" w:firstLine="0"/>
        <w:jc w:val="left"/>
        <w:rPr>
          <w:rFonts w:ascii="Theinhardt Black" w:hAnsi="Theinhardt Black" w:cs="Theinhardt Black" w:eastAsia="Theinhardt Black"/>
          <w:sz w:val="40"/>
          <w:szCs w:val="40"/>
        </w:rPr>
      </w:pPr>
      <w:r>
        <w:rPr>
          <w:rFonts w:ascii="Theinhardt Black"/>
          <w:b/>
          <w:color w:val="0067B1"/>
          <w:sz w:val="40"/>
        </w:rPr>
        <w:t>67% </w:t>
      </w:r>
      <w:r>
        <w:rPr>
          <w:rFonts w:ascii="Theinhardt Black"/>
          <w:b/>
          <w:color w:val="0067B1"/>
          <w:spacing w:val="4"/>
          <w:sz w:val="40"/>
        </w:rPr>
        <w:t>Solarbetriebene</w:t>
      </w:r>
      <w:r>
        <w:rPr>
          <w:rFonts w:ascii="Theinhardt Black"/>
          <w:b/>
          <w:color w:val="0067B1"/>
          <w:sz w:val="40"/>
        </w:rPr>
        <w:t> </w:t>
      </w:r>
      <w:r>
        <w:rPr>
          <w:rFonts w:ascii="Theinhardt Black"/>
          <w:b/>
          <w:color w:val="0067B1"/>
          <w:spacing w:val="3"/>
          <w:sz w:val="40"/>
        </w:rPr>
        <w:t>Eishalle,</w:t>
      </w:r>
      <w:r>
        <w:rPr>
          <w:rFonts w:ascii="Theinhardt Black"/>
          <w:b/>
          <w:color w:val="0067B1"/>
          <w:spacing w:val="-24"/>
          <w:sz w:val="40"/>
        </w:rPr>
        <w:t> </w:t>
      </w:r>
      <w:r>
        <w:rPr>
          <w:rFonts w:ascii="Theinhardt Black"/>
          <w:b/>
          <w:color w:val="0067B1"/>
          <w:sz w:val="40"/>
        </w:rPr>
        <w:t>5610 </w:t>
      </w:r>
      <w:r>
        <w:rPr>
          <w:rFonts w:ascii="Theinhardt Black"/>
          <w:b/>
          <w:color w:val="0067B1"/>
          <w:spacing w:val="-2"/>
          <w:sz w:val="40"/>
        </w:rPr>
        <w:t>W</w:t>
      </w:r>
      <w:r>
        <w:rPr>
          <w:rFonts w:ascii="Theinhardt Black"/>
          <w:b/>
          <w:color w:val="0067B1"/>
          <w:spacing w:val="2"/>
          <w:sz w:val="40"/>
        </w:rPr>
        <w:t>ohle</w:t>
      </w:r>
      <w:r>
        <w:rPr>
          <w:rFonts w:ascii="Theinhardt Black"/>
          <w:b/>
          <w:color w:val="0067B1"/>
          <w:spacing w:val="10"/>
          <w:sz w:val="40"/>
        </w:rPr>
        <w:t>n</w:t>
      </w:r>
      <w:r>
        <w:rPr>
          <w:rFonts w:ascii="Theinhardt Black"/>
          <w:b/>
          <w:color w:val="0067B1"/>
          <w:spacing w:val="-27"/>
          <w:sz w:val="40"/>
        </w:rPr>
        <w:t>/</w:t>
      </w:r>
      <w:r>
        <w:rPr>
          <w:rFonts w:ascii="Theinhardt Black"/>
          <w:b/>
          <w:color w:val="0067B1"/>
          <w:spacing w:val="-4"/>
          <w:sz w:val="40"/>
        </w:rPr>
        <w:t>A</w:t>
      </w:r>
      <w:r>
        <w:rPr>
          <w:rFonts w:ascii="Theinhardt Black"/>
          <w:b/>
          <w:color w:val="0067B1"/>
          <w:sz w:val="40"/>
        </w:rPr>
        <w:t>G</w:t>
      </w:r>
      <w:r>
        <w:rPr>
          <w:rFonts w:ascii="Theinhardt Black"/>
          <w:sz w:val="40"/>
        </w:rPr>
      </w:r>
    </w:p>
    <w:p>
      <w:pPr>
        <w:spacing w:line="240" w:lineRule="auto" w:before="11"/>
        <w:rPr>
          <w:rFonts w:ascii="Theinhardt Black" w:hAnsi="Theinhardt Black" w:cs="Theinhardt Black" w:eastAsia="Theinhardt Black"/>
          <w:b/>
          <w:bCs/>
          <w:sz w:val="23"/>
          <w:szCs w:val="23"/>
        </w:rPr>
      </w:pPr>
    </w:p>
    <w:p>
      <w:pPr>
        <w:spacing w:after="0" w:line="240" w:lineRule="auto"/>
        <w:rPr>
          <w:rFonts w:ascii="Theinhardt Black" w:hAnsi="Theinhardt Black" w:cs="Theinhardt Black" w:eastAsia="Theinhardt Black"/>
          <w:sz w:val="23"/>
          <w:szCs w:val="23"/>
        </w:rPr>
        <w:sectPr>
          <w:type w:val="continuous"/>
          <w:pgSz w:w="11910" w:h="16840"/>
          <w:pgMar w:top="840" w:bottom="280" w:left="460" w:right="740"/>
        </w:sectPr>
      </w:pPr>
    </w:p>
    <w:p>
      <w:pPr>
        <w:pStyle w:val="BodyText"/>
        <w:spacing w:line="230" w:lineRule="exact" w:before="52"/>
        <w:ind w:right="0" w:firstLine="0"/>
        <w:jc w:val="both"/>
      </w:pPr>
      <w:r>
        <w:rPr>
          <w:color w:val="231F20"/>
          <w:spacing w:val="-1"/>
        </w:rPr>
        <w:t>Die</w:t>
      </w:r>
      <w:r>
        <w:rPr>
          <w:color w:val="231F20"/>
          <w:spacing w:val="13"/>
        </w:rPr>
        <w:t> </w:t>
      </w:r>
      <w:r>
        <w:rPr>
          <w:color w:val="231F20"/>
        </w:rPr>
        <w:t>Gemeinde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Wohlen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eröffnete</w:t>
      </w:r>
      <w:r>
        <w:rPr>
          <w:color w:val="231F20"/>
          <w:spacing w:val="13"/>
        </w:rPr>
        <w:t> </w:t>
      </w:r>
      <w:r>
        <w:rPr>
          <w:color w:val="231F20"/>
        </w:rPr>
        <w:t>1976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ihre</w:t>
      </w:r>
      <w:r>
        <w:rPr>
          <w:color w:val="231F20"/>
          <w:spacing w:val="27"/>
        </w:rPr>
        <w:t> </w:t>
      </w:r>
      <w:r>
        <w:rPr>
          <w:color w:val="231F20"/>
        </w:rPr>
        <w:t>erste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Kunsteisbahn.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Ohne</w:t>
      </w:r>
      <w:r>
        <w:rPr>
          <w:color w:val="231F20"/>
          <w:spacing w:val="20"/>
        </w:rPr>
        <w:t> </w:t>
      </w:r>
      <w:r>
        <w:rPr>
          <w:color w:val="231F20"/>
        </w:rPr>
        <w:t>Dachbedeckung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war</w:t>
      </w:r>
      <w:r>
        <w:rPr>
          <w:color w:val="231F20"/>
          <w:spacing w:val="35"/>
        </w:rPr>
        <w:t> </w:t>
      </w:r>
      <w:r>
        <w:rPr>
          <w:color w:val="231F20"/>
        </w:rPr>
        <w:t>sie</w:t>
      </w:r>
      <w:r>
        <w:rPr>
          <w:color w:val="231F20"/>
          <w:spacing w:val="36"/>
        </w:rPr>
        <w:t> </w:t>
      </w:r>
      <w:r>
        <w:rPr>
          <w:color w:val="231F20"/>
        </w:rPr>
        <w:t>allen</w:t>
      </w:r>
      <w:r>
        <w:rPr>
          <w:color w:val="231F20"/>
          <w:spacing w:val="35"/>
        </w:rPr>
        <w:t> </w:t>
      </w:r>
      <w:r>
        <w:rPr>
          <w:color w:val="231F20"/>
        </w:rPr>
        <w:t>Witterungseinflüssen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ausge-</w:t>
      </w:r>
      <w:r>
        <w:rPr>
          <w:color w:val="231F20"/>
          <w:spacing w:val="29"/>
        </w:rPr>
        <w:t> </w:t>
      </w:r>
      <w:r>
        <w:rPr>
          <w:color w:val="231F20"/>
          <w:spacing w:val="1"/>
        </w:rPr>
        <w:t>setzt.</w:t>
      </w:r>
      <w:r>
        <w:rPr>
          <w:color w:val="231F20"/>
          <w:spacing w:val="21"/>
        </w:rPr>
        <w:t> </w:t>
      </w:r>
      <w:r>
        <w:rPr>
          <w:color w:val="231F20"/>
        </w:rPr>
        <w:t>Bei</w:t>
      </w:r>
      <w:r>
        <w:rPr>
          <w:color w:val="231F20"/>
          <w:spacing w:val="31"/>
        </w:rPr>
        <w:t> </w:t>
      </w:r>
      <w:r>
        <w:rPr>
          <w:color w:val="231F20"/>
        </w:rPr>
        <w:t>der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Planung</w:t>
      </w:r>
      <w:r>
        <w:rPr>
          <w:color w:val="231F20"/>
          <w:spacing w:val="31"/>
        </w:rPr>
        <w:t> </w:t>
      </w:r>
      <w:r>
        <w:rPr>
          <w:color w:val="231F20"/>
        </w:rPr>
        <w:t>für</w:t>
      </w:r>
      <w:r>
        <w:rPr>
          <w:color w:val="231F20"/>
          <w:spacing w:val="32"/>
        </w:rPr>
        <w:t> </w:t>
      </w:r>
      <w:r>
        <w:rPr>
          <w:color w:val="231F20"/>
        </w:rPr>
        <w:t>den</w:t>
      </w:r>
      <w:r>
        <w:rPr>
          <w:color w:val="231F20"/>
          <w:spacing w:val="32"/>
        </w:rPr>
        <w:t> </w:t>
      </w:r>
      <w:r>
        <w:rPr>
          <w:color w:val="231F20"/>
        </w:rPr>
        <w:t>Ersatz</w:t>
      </w:r>
      <w:r>
        <w:rPr>
          <w:color w:val="231F20"/>
          <w:spacing w:val="31"/>
        </w:rPr>
        <w:t> </w:t>
      </w:r>
      <w:r>
        <w:rPr>
          <w:color w:val="231F20"/>
        </w:rPr>
        <w:t>der</w:t>
      </w:r>
      <w:r>
        <w:rPr>
          <w:color w:val="231F20"/>
          <w:spacing w:val="34"/>
        </w:rPr>
        <w:t> </w:t>
      </w:r>
      <w:r>
        <w:rPr>
          <w:color w:val="231F20"/>
        </w:rPr>
        <w:t>über</w:t>
      </w:r>
      <w:r>
        <w:rPr>
          <w:color w:val="231F20"/>
          <w:spacing w:val="-8"/>
        </w:rPr>
        <w:t> </w:t>
      </w:r>
      <w:r>
        <w:rPr>
          <w:color w:val="231F20"/>
        </w:rPr>
        <w:t>40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Jahre</w:t>
      </w:r>
      <w:r>
        <w:rPr>
          <w:color w:val="231F20"/>
          <w:spacing w:val="-8"/>
        </w:rPr>
        <w:t> </w:t>
      </w:r>
      <w:r>
        <w:rPr>
          <w:color w:val="231F20"/>
        </w:rPr>
        <w:t>alten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Anlage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wurde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beschlos-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sen,</w:t>
      </w:r>
      <w:r>
        <w:rPr>
          <w:color w:val="231F20"/>
          <w:spacing w:val="-20"/>
        </w:rPr>
        <w:t> </w:t>
      </w:r>
      <w:r>
        <w:rPr>
          <w:color w:val="231F20"/>
        </w:rPr>
        <w:t>für</w:t>
      </w:r>
      <w:r>
        <w:rPr>
          <w:color w:val="231F20"/>
          <w:spacing w:val="-9"/>
        </w:rPr>
        <w:t> </w:t>
      </w:r>
      <w:r>
        <w:rPr>
          <w:color w:val="231F20"/>
        </w:rPr>
        <w:t>12.3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Mio.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Fr.</w:t>
      </w:r>
      <w:r>
        <w:rPr>
          <w:color w:val="231F20"/>
          <w:spacing w:val="-20"/>
        </w:rPr>
        <w:t> </w:t>
      </w:r>
      <w:r>
        <w:rPr>
          <w:color w:val="231F20"/>
        </w:rPr>
        <w:t>eine</w:t>
      </w:r>
      <w:r>
        <w:rPr>
          <w:color w:val="231F20"/>
          <w:spacing w:val="-9"/>
        </w:rPr>
        <w:t> </w:t>
      </w:r>
      <w:r>
        <w:rPr>
          <w:color w:val="231F20"/>
        </w:rPr>
        <w:t>Eishalle</w:t>
      </w:r>
      <w:r>
        <w:rPr>
          <w:color w:val="231F20"/>
          <w:spacing w:val="-9"/>
        </w:rPr>
        <w:t> </w:t>
      </w:r>
      <w:r>
        <w:rPr>
          <w:color w:val="231F20"/>
        </w:rPr>
        <w:t>mit</w:t>
      </w:r>
      <w:r>
        <w:rPr>
          <w:color w:val="231F20"/>
          <w:spacing w:val="-9"/>
        </w:rPr>
        <w:t> </w:t>
      </w:r>
      <w:r>
        <w:rPr>
          <w:color w:val="231F20"/>
        </w:rPr>
        <w:t>einem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PV-Dach</w:t>
      </w:r>
      <w:r>
        <w:rPr>
          <w:color w:val="231F20"/>
        </w:rPr>
        <w:t> zu bauen.</w:t>
      </w:r>
      <w:r>
        <w:rPr/>
      </w:r>
    </w:p>
    <w:p>
      <w:pPr>
        <w:pStyle w:val="BodyText"/>
        <w:spacing w:line="230" w:lineRule="exact"/>
        <w:ind w:right="0"/>
        <w:jc w:val="both"/>
      </w:pPr>
      <w:r>
        <w:rPr>
          <w:color w:val="231F20"/>
          <w:spacing w:val="-1"/>
        </w:rPr>
        <w:t>Die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Architekten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strebten</w:t>
      </w:r>
      <w:r>
        <w:rPr>
          <w:color w:val="231F20"/>
          <w:spacing w:val="19"/>
        </w:rPr>
        <w:t> </w:t>
      </w:r>
      <w:r>
        <w:rPr>
          <w:color w:val="231F20"/>
        </w:rPr>
        <w:t>eine</w:t>
      </w:r>
      <w:r>
        <w:rPr>
          <w:color w:val="231F20"/>
          <w:spacing w:val="19"/>
        </w:rPr>
        <w:t> </w:t>
      </w:r>
      <w:r>
        <w:rPr>
          <w:color w:val="231F20"/>
        </w:rPr>
        <w:t>gute</w:t>
      </w:r>
      <w:r>
        <w:rPr>
          <w:color w:val="231F20"/>
          <w:spacing w:val="19"/>
        </w:rPr>
        <w:t> </w:t>
      </w:r>
      <w:r>
        <w:rPr>
          <w:color w:val="231F20"/>
        </w:rPr>
        <w:t>Inte-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gration</w:t>
      </w:r>
      <w:r>
        <w:rPr>
          <w:color w:val="231F20"/>
          <w:spacing w:val="18"/>
        </w:rPr>
        <w:t> </w:t>
      </w:r>
      <w:r>
        <w:rPr>
          <w:color w:val="231F20"/>
        </w:rPr>
        <w:t>der</w:t>
      </w:r>
      <w:r>
        <w:rPr>
          <w:color w:val="231F20"/>
          <w:spacing w:val="18"/>
        </w:rPr>
        <w:t> </w:t>
      </w:r>
      <w:r>
        <w:rPr>
          <w:color w:val="231F20"/>
        </w:rPr>
        <w:t>378</w:t>
      </w:r>
      <w:r>
        <w:rPr>
          <w:color w:val="231F20"/>
          <w:spacing w:val="18"/>
        </w:rPr>
        <w:t> </w:t>
      </w:r>
      <w:r>
        <w:rPr>
          <w:color w:val="231F20"/>
        </w:rPr>
        <w:t>kW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PV-Anlage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sowie</w:t>
      </w:r>
      <w:r>
        <w:rPr>
          <w:color w:val="231F20"/>
          <w:spacing w:val="18"/>
        </w:rPr>
        <w:t> </w:t>
      </w:r>
      <w:r>
        <w:rPr>
          <w:color w:val="231F20"/>
          <w:spacing w:val="1"/>
        </w:rPr>
        <w:t>wirt-</w:t>
      </w:r>
      <w:r>
        <w:rPr>
          <w:color w:val="231F20"/>
          <w:spacing w:val="29"/>
        </w:rPr>
        <w:t> </w:t>
      </w:r>
      <w:r>
        <w:rPr>
          <w:color w:val="231F20"/>
        </w:rPr>
        <w:t>schaftliche </w:t>
      </w:r>
      <w:r>
        <w:rPr>
          <w:color w:val="231F20"/>
          <w:spacing w:val="-1"/>
        </w:rPr>
        <w:t>Synergieeffekte</w:t>
      </w:r>
      <w:r>
        <w:rPr>
          <w:color w:val="231F20"/>
        </w:rPr>
        <w:t> </w:t>
      </w:r>
      <w:r>
        <w:rPr>
          <w:color w:val="231F20"/>
          <w:spacing w:val="-1"/>
        </w:rPr>
        <w:t>an.</w:t>
      </w:r>
      <w:r>
        <w:rPr>
          <w:color w:val="231F20"/>
          <w:spacing w:val="-11"/>
        </w:rPr>
        <w:t> </w:t>
      </w:r>
      <w:r>
        <w:rPr>
          <w:color w:val="231F20"/>
          <w:spacing w:val="1"/>
        </w:rPr>
        <w:t>Das</w:t>
      </w:r>
      <w:r>
        <w:rPr>
          <w:color w:val="231F20"/>
        </w:rPr>
        <w:t> </w:t>
      </w:r>
      <w:r>
        <w:rPr>
          <w:color w:val="231F20"/>
          <w:spacing w:val="1"/>
        </w:rPr>
        <w:t>versetzt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konzipierte</w:t>
      </w:r>
      <w:r>
        <w:rPr>
          <w:color w:val="231F20"/>
          <w:spacing w:val="17"/>
        </w:rPr>
        <w:t> </w:t>
      </w:r>
      <w:r>
        <w:rPr>
          <w:color w:val="231F20"/>
        </w:rPr>
        <w:t>Dach</w:t>
      </w:r>
      <w:r>
        <w:rPr>
          <w:color w:val="231F20"/>
          <w:spacing w:val="17"/>
        </w:rPr>
        <w:t> </w:t>
      </w:r>
      <w:r>
        <w:rPr>
          <w:color w:val="231F20"/>
        </w:rPr>
        <w:t>ermöglicht</w:t>
      </w:r>
      <w:r>
        <w:rPr>
          <w:color w:val="231F20"/>
          <w:spacing w:val="17"/>
        </w:rPr>
        <w:t> </w:t>
      </w:r>
      <w:r>
        <w:rPr>
          <w:color w:val="231F20"/>
        </w:rPr>
        <w:t>eine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Tages-</w:t>
      </w:r>
      <w:r>
        <w:rPr>
          <w:color w:val="231F20"/>
          <w:spacing w:val="33"/>
        </w:rPr>
        <w:t> </w:t>
      </w:r>
      <w:r>
        <w:rPr>
          <w:color w:val="231F20"/>
        </w:rPr>
        <w:t>lichtnutzung,</w:t>
      </w:r>
      <w:r>
        <w:rPr>
          <w:color w:val="231F20"/>
          <w:spacing w:val="19"/>
        </w:rPr>
        <w:t> </w:t>
      </w:r>
      <w:r>
        <w:rPr>
          <w:color w:val="231F20"/>
        </w:rPr>
        <w:t>die</w:t>
      </w:r>
      <w:r>
        <w:rPr>
          <w:color w:val="231F20"/>
          <w:spacing w:val="29"/>
        </w:rPr>
        <w:t> </w:t>
      </w:r>
      <w:r>
        <w:rPr>
          <w:color w:val="231F20"/>
        </w:rPr>
        <w:t>den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Stromverbrauch</w:t>
      </w:r>
      <w:r>
        <w:rPr>
          <w:color w:val="231F20"/>
          <w:spacing w:val="29"/>
        </w:rPr>
        <w:t> </w:t>
      </w:r>
      <w:r>
        <w:rPr>
          <w:color w:val="231F20"/>
        </w:rPr>
        <w:t>und</w:t>
      </w:r>
      <w:r>
        <w:rPr>
          <w:color w:val="231F20"/>
          <w:spacing w:val="28"/>
        </w:rPr>
        <w:t> </w:t>
      </w:r>
      <w:r>
        <w:rPr>
          <w:color w:val="231F20"/>
        </w:rPr>
        <w:t>die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Betriebskosten</w:t>
      </w:r>
      <w:r>
        <w:rPr>
          <w:color w:val="231F20"/>
          <w:spacing w:val="1"/>
        </w:rPr>
        <w:t> </w:t>
      </w:r>
      <w:r>
        <w:rPr>
          <w:color w:val="231F20"/>
        </w:rPr>
        <w:t>reduziert.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Von</w:t>
      </w:r>
      <w:r>
        <w:rPr>
          <w:color w:val="231F20"/>
          <w:spacing w:val="1"/>
        </w:rPr>
        <w:t> </w:t>
      </w:r>
      <w:r>
        <w:rPr>
          <w:color w:val="231F20"/>
        </w:rPr>
        <w:t>der</w:t>
      </w:r>
      <w:r>
        <w:rPr>
          <w:color w:val="231F20"/>
          <w:spacing w:val="1"/>
        </w:rPr>
        <w:t> </w:t>
      </w:r>
      <w:r>
        <w:rPr>
          <w:color w:val="231F20"/>
        </w:rPr>
        <w:t>Dach-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fläche</w:t>
      </w:r>
      <w:r>
        <w:rPr>
          <w:color w:val="231F20"/>
          <w:spacing w:val="12"/>
        </w:rPr>
        <w:t> </w:t>
      </w:r>
      <w:r>
        <w:rPr>
          <w:color w:val="231F20"/>
        </w:rPr>
        <w:t>mit</w:t>
      </w:r>
      <w:r>
        <w:rPr>
          <w:color w:val="231F20"/>
          <w:spacing w:val="13"/>
        </w:rPr>
        <w:t> </w:t>
      </w:r>
      <w:r>
        <w:rPr>
          <w:color w:val="231F20"/>
        </w:rPr>
        <w:t>3’525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m</w:t>
      </w:r>
      <w:r>
        <w:rPr>
          <w:color w:val="231F20"/>
          <w:spacing w:val="-1"/>
          <w:position w:val="6"/>
          <w:sz w:val="10"/>
          <w:szCs w:val="10"/>
        </w:rPr>
        <w:t>2</w:t>
      </w:r>
      <w:r>
        <w:rPr>
          <w:color w:val="231F20"/>
          <w:spacing w:val="7"/>
          <w:position w:val="6"/>
          <w:sz w:val="10"/>
          <w:szCs w:val="10"/>
        </w:rPr>
        <w:t> </w:t>
      </w:r>
      <w:r>
        <w:rPr>
          <w:color w:val="231F20"/>
          <w:spacing w:val="-2"/>
        </w:rPr>
        <w:t>produzieren</w:t>
      </w:r>
      <w:r>
        <w:rPr>
          <w:color w:val="231F20"/>
          <w:spacing w:val="13"/>
        </w:rPr>
        <w:t> </w:t>
      </w:r>
      <w:r>
        <w:rPr>
          <w:color w:val="231F20"/>
        </w:rPr>
        <w:t>2’250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m</w:t>
      </w:r>
      <w:r>
        <w:rPr>
          <w:color w:val="231F20"/>
          <w:spacing w:val="-1"/>
          <w:position w:val="6"/>
          <w:sz w:val="10"/>
          <w:szCs w:val="10"/>
        </w:rPr>
        <w:t>2</w:t>
      </w:r>
      <w:r>
        <w:rPr>
          <w:color w:val="231F20"/>
          <w:spacing w:val="37"/>
          <w:w w:val="104"/>
          <w:position w:val="6"/>
          <w:sz w:val="10"/>
          <w:szCs w:val="10"/>
        </w:rPr>
        <w:t> </w:t>
      </w:r>
      <w:r>
        <w:rPr>
          <w:color w:val="231F20"/>
        </w:rPr>
        <w:t>monokristalline</w:t>
      </w:r>
      <w:r>
        <w:rPr>
          <w:color w:val="231F20"/>
          <w:spacing w:val="4"/>
        </w:rPr>
        <w:t> </w:t>
      </w:r>
      <w:r>
        <w:rPr>
          <w:color w:val="231F20"/>
        </w:rPr>
        <w:t>Solarmodule</w:t>
      </w:r>
      <w:r>
        <w:rPr>
          <w:color w:val="231F20"/>
          <w:spacing w:val="4"/>
        </w:rPr>
        <w:t> </w:t>
      </w:r>
      <w:r>
        <w:rPr>
          <w:color w:val="231F20"/>
        </w:rPr>
        <w:t>rund</w:t>
      </w:r>
      <w:r>
        <w:rPr>
          <w:color w:val="231F20"/>
          <w:spacing w:val="4"/>
        </w:rPr>
        <w:t> </w:t>
      </w:r>
      <w:r>
        <w:rPr>
          <w:color w:val="231F20"/>
        </w:rPr>
        <w:t>379’400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kWh/a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Solarstrom. </w:t>
      </w:r>
      <w:r>
        <w:rPr>
          <w:color w:val="231F20"/>
        </w:rPr>
        <w:t>Damit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werden</w:t>
      </w:r>
      <w:r>
        <w:rPr>
          <w:color w:val="231F20"/>
          <w:spacing w:val="10"/>
        </w:rPr>
        <w:t> </w:t>
      </w:r>
      <w:r>
        <w:rPr>
          <w:color w:val="231F20"/>
        </w:rPr>
        <w:t>67%</w:t>
      </w:r>
      <w:r>
        <w:rPr>
          <w:color w:val="231F20"/>
          <w:spacing w:val="10"/>
        </w:rPr>
        <w:t> </w:t>
      </w:r>
      <w:r>
        <w:rPr>
          <w:color w:val="231F20"/>
        </w:rPr>
        <w:t>des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Gesamtenergiebedarfs</w:t>
      </w:r>
      <w:r>
        <w:rPr>
          <w:color w:val="231F20"/>
          <w:spacing w:val="-8"/>
        </w:rPr>
        <w:t> </w:t>
      </w:r>
      <w:r>
        <w:rPr>
          <w:color w:val="231F20"/>
        </w:rPr>
        <w:t>von</w:t>
      </w:r>
      <w:r>
        <w:rPr>
          <w:color w:val="231F20"/>
          <w:spacing w:val="-8"/>
        </w:rPr>
        <w:t> </w:t>
      </w:r>
      <w:r>
        <w:rPr>
          <w:color w:val="231F20"/>
        </w:rPr>
        <w:t>570’400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kWh/a</w:t>
      </w:r>
      <w:r>
        <w:rPr>
          <w:color w:val="231F20"/>
          <w:spacing w:val="38"/>
        </w:rPr>
        <w:t> </w:t>
      </w:r>
      <w:r>
        <w:rPr>
          <w:color w:val="231F20"/>
        </w:rPr>
        <w:t>für</w:t>
      </w:r>
      <w:r>
        <w:rPr>
          <w:color w:val="231F20"/>
          <w:spacing w:val="28"/>
        </w:rPr>
        <w:t> </w:t>
      </w:r>
      <w:r>
        <w:rPr>
          <w:color w:val="231F20"/>
        </w:rPr>
        <w:t>die</w:t>
      </w:r>
      <w:r>
        <w:rPr>
          <w:color w:val="231F20"/>
          <w:spacing w:val="29"/>
        </w:rPr>
        <w:t> </w:t>
      </w:r>
      <w:r>
        <w:rPr>
          <w:color w:val="231F20"/>
        </w:rPr>
        <w:t>Kälteerzeugung</w:t>
      </w:r>
      <w:r>
        <w:rPr>
          <w:color w:val="231F20"/>
          <w:spacing w:val="28"/>
        </w:rPr>
        <w:t> </w:t>
      </w:r>
      <w:r>
        <w:rPr>
          <w:color w:val="231F20"/>
        </w:rPr>
        <w:t>der</w:t>
      </w:r>
      <w:r>
        <w:rPr>
          <w:color w:val="231F20"/>
          <w:spacing w:val="29"/>
        </w:rPr>
        <w:t> </w:t>
      </w:r>
      <w:r>
        <w:rPr>
          <w:color w:val="231F20"/>
        </w:rPr>
        <w:t>Eishalle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sowie</w:t>
      </w:r>
      <w:r>
        <w:rPr>
          <w:color w:val="231F20"/>
          <w:spacing w:val="26"/>
        </w:rPr>
        <w:t> </w:t>
      </w:r>
      <w:r>
        <w:rPr>
          <w:color w:val="231F20"/>
        </w:rPr>
        <w:t>des</w:t>
      </w:r>
      <w:r>
        <w:rPr>
          <w:color w:val="231F20"/>
          <w:spacing w:val="4"/>
        </w:rPr>
        <w:t> </w:t>
      </w:r>
      <w:r>
        <w:rPr>
          <w:color w:val="231F20"/>
        </w:rPr>
        <w:t>Schüwo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Parks</w:t>
      </w:r>
      <w:r>
        <w:rPr>
          <w:color w:val="231F20"/>
          <w:spacing w:val="4"/>
        </w:rPr>
        <w:t> </w:t>
      </w:r>
      <w:r>
        <w:rPr>
          <w:color w:val="231F20"/>
        </w:rPr>
        <w:t>mit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Freibad</w:t>
      </w:r>
      <w:r>
        <w:rPr>
          <w:color w:val="231F20"/>
          <w:spacing w:val="4"/>
        </w:rPr>
        <w:t> </w:t>
      </w:r>
      <w:r>
        <w:rPr>
          <w:color w:val="231F20"/>
        </w:rPr>
        <w:t>und</w:t>
      </w:r>
      <w:r>
        <w:rPr>
          <w:color w:val="231F20"/>
          <w:spacing w:val="4"/>
        </w:rPr>
        <w:t> </w:t>
      </w:r>
      <w:r>
        <w:rPr>
          <w:color w:val="231F20"/>
        </w:rPr>
        <w:t>Restau-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rant</w:t>
      </w:r>
      <w:r>
        <w:rPr>
          <w:color w:val="231F20"/>
          <w:spacing w:val="20"/>
        </w:rPr>
        <w:t> </w:t>
      </w:r>
      <w:r>
        <w:rPr>
          <w:color w:val="231F20"/>
        </w:rPr>
        <w:t>gedeckt.</w:t>
      </w:r>
      <w:r>
        <w:rPr>
          <w:color w:val="231F20"/>
          <w:spacing w:val="9"/>
        </w:rPr>
        <w:t> </w:t>
      </w:r>
      <w:r>
        <w:rPr>
          <w:color w:val="231F20"/>
        </w:rPr>
        <w:t>Rund</w:t>
      </w:r>
      <w:r>
        <w:rPr>
          <w:color w:val="231F20"/>
          <w:spacing w:val="21"/>
        </w:rPr>
        <w:t> </w:t>
      </w:r>
      <w:r>
        <w:rPr>
          <w:color w:val="231F20"/>
        </w:rPr>
        <w:t>2’250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m</w:t>
      </w:r>
      <w:r>
        <w:rPr>
          <w:color w:val="231F20"/>
          <w:spacing w:val="-1"/>
          <w:position w:val="6"/>
          <w:sz w:val="10"/>
          <w:szCs w:val="10"/>
        </w:rPr>
        <w:t>2</w:t>
      </w:r>
      <w:r>
        <w:rPr>
          <w:color w:val="231F20"/>
          <w:spacing w:val="15"/>
          <w:position w:val="6"/>
          <w:sz w:val="10"/>
          <w:szCs w:val="10"/>
        </w:rPr>
        <w:t> </w:t>
      </w:r>
      <w:r>
        <w:rPr>
          <w:color w:val="231F20"/>
        </w:rPr>
        <w:t>oder</w:t>
      </w:r>
      <w:r>
        <w:rPr>
          <w:color w:val="231F20"/>
          <w:spacing w:val="21"/>
        </w:rPr>
        <w:t> </w:t>
      </w:r>
      <w:r>
        <w:rPr>
          <w:color w:val="231F20"/>
        </w:rPr>
        <w:t>63.8%</w:t>
      </w:r>
      <w:r>
        <w:rPr>
          <w:color w:val="231F20"/>
          <w:spacing w:val="26"/>
        </w:rPr>
        <w:t> </w:t>
      </w:r>
      <w:r>
        <w:rPr>
          <w:color w:val="231F20"/>
        </w:rPr>
        <w:t>der</w:t>
      </w:r>
      <w:r>
        <w:rPr>
          <w:color w:val="231F20"/>
          <w:spacing w:val="33"/>
        </w:rPr>
        <w:t> </w:t>
      </w:r>
      <w:r>
        <w:rPr>
          <w:color w:val="231F20"/>
        </w:rPr>
        <w:t>3’525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m</w:t>
      </w:r>
      <w:r>
        <w:rPr>
          <w:color w:val="231F20"/>
          <w:spacing w:val="-1"/>
          <w:position w:val="6"/>
          <w:sz w:val="10"/>
          <w:szCs w:val="10"/>
        </w:rPr>
        <w:t>2</w:t>
      </w:r>
      <w:r>
        <w:rPr>
          <w:color w:val="231F20"/>
          <w:position w:val="6"/>
          <w:sz w:val="10"/>
          <w:szCs w:val="10"/>
        </w:rPr>
        <w:t> </w:t>
      </w:r>
      <w:r>
        <w:rPr>
          <w:color w:val="231F20"/>
          <w:spacing w:val="-2"/>
        </w:rPr>
        <w:t>grossen</w:t>
      </w:r>
      <w:r>
        <w:rPr>
          <w:color w:val="231F20"/>
          <w:spacing w:val="33"/>
        </w:rPr>
        <w:t> </w:t>
      </w:r>
      <w:r>
        <w:rPr>
          <w:color w:val="231F20"/>
        </w:rPr>
        <w:t>Dachfläche</w:t>
      </w:r>
      <w:r>
        <w:rPr>
          <w:color w:val="231F20"/>
          <w:spacing w:val="33"/>
        </w:rPr>
        <w:t> </w:t>
      </w:r>
      <w:r>
        <w:rPr>
          <w:color w:val="231F20"/>
        </w:rPr>
        <w:t>dienen</w:t>
      </w:r>
      <w:r>
        <w:rPr>
          <w:color w:val="231F20"/>
          <w:spacing w:val="29"/>
        </w:rPr>
        <w:t> </w:t>
      </w:r>
      <w:r>
        <w:rPr>
          <w:color w:val="231F20"/>
        </w:rPr>
        <w:t>der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PV-Stromerzeugung</w:t>
      </w:r>
      <w:r>
        <w:rPr>
          <w:color w:val="231F20"/>
          <w:spacing w:val="-4"/>
        </w:rPr>
        <w:t> </w:t>
      </w:r>
      <w:r>
        <w:rPr>
          <w:color w:val="231F20"/>
        </w:rPr>
        <w:t>und</w:t>
      </w:r>
      <w:r>
        <w:rPr>
          <w:color w:val="231F20"/>
          <w:spacing w:val="-3"/>
        </w:rPr>
        <w:t> </w:t>
      </w:r>
      <w:r>
        <w:rPr>
          <w:color w:val="231F20"/>
        </w:rPr>
        <w:t>1’275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m</w:t>
      </w:r>
      <w:r>
        <w:rPr>
          <w:color w:val="231F20"/>
          <w:spacing w:val="-1"/>
          <w:position w:val="6"/>
          <w:sz w:val="10"/>
          <w:szCs w:val="10"/>
        </w:rPr>
        <w:t>2</w:t>
      </w:r>
      <w:r>
        <w:rPr>
          <w:color w:val="231F20"/>
          <w:spacing w:val="19"/>
          <w:position w:val="6"/>
          <w:sz w:val="10"/>
          <w:szCs w:val="10"/>
        </w:rPr>
        <w:t> </w:t>
      </w:r>
      <w:r>
        <w:rPr>
          <w:color w:val="231F20"/>
        </w:rPr>
        <w:t>oder</w:t>
      </w:r>
      <w:r>
        <w:rPr>
          <w:color w:val="231F20"/>
          <w:spacing w:val="31"/>
        </w:rPr>
        <w:t> </w:t>
      </w:r>
      <w:r>
        <w:rPr>
          <w:color w:val="231F20"/>
        </w:rPr>
        <w:t>36.2% </w:t>
      </w:r>
      <w:r>
        <w:rPr>
          <w:color w:val="231F20"/>
          <w:spacing w:val="-1"/>
        </w:rPr>
        <w:t>teilweise</w:t>
      </w:r>
      <w:r>
        <w:rPr>
          <w:color w:val="231F20"/>
        </w:rPr>
        <w:t> der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Tageslichtnutzung.</w:t>
      </w:r>
      <w:r>
        <w:rPr/>
      </w:r>
    </w:p>
    <w:p>
      <w:pPr>
        <w:pStyle w:val="BodyText"/>
        <w:spacing w:line="230" w:lineRule="exact"/>
        <w:ind w:right="0"/>
        <w:jc w:val="both"/>
      </w:pPr>
      <w:r>
        <w:rPr>
          <w:color w:val="231F20"/>
          <w:spacing w:val="-1"/>
        </w:rPr>
        <w:t>Die</w:t>
      </w:r>
      <w:r>
        <w:rPr>
          <w:color w:val="231F20"/>
          <w:spacing w:val="11"/>
        </w:rPr>
        <w:t> </w:t>
      </w:r>
      <w:r>
        <w:rPr>
          <w:color w:val="231F20"/>
        </w:rPr>
        <w:t>2013</w:t>
      </w:r>
      <w:r>
        <w:rPr>
          <w:color w:val="231F20"/>
          <w:spacing w:val="11"/>
        </w:rPr>
        <w:t> </w:t>
      </w:r>
      <w:r>
        <w:rPr>
          <w:color w:val="231F20"/>
        </w:rPr>
        <w:t>mit</w:t>
      </w:r>
      <w:r>
        <w:rPr>
          <w:color w:val="231F20"/>
          <w:spacing w:val="11"/>
        </w:rPr>
        <w:t> </w:t>
      </w:r>
      <w:r>
        <w:rPr>
          <w:color w:val="231F20"/>
        </w:rPr>
        <w:t>dem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Schweizer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Solarpreis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ausgezeichnete</w:t>
      </w:r>
      <w:r>
        <w:rPr>
          <w:color w:val="231F20"/>
          <w:spacing w:val="1"/>
        </w:rPr>
        <w:t> </w:t>
      </w:r>
      <w:r>
        <w:rPr>
          <w:color w:val="231F20"/>
        </w:rPr>
        <w:t>vorbildlich</w:t>
      </w:r>
      <w:r>
        <w:rPr>
          <w:color w:val="231F20"/>
          <w:spacing w:val="1"/>
        </w:rPr>
        <w:t> </w:t>
      </w:r>
      <w:r>
        <w:rPr>
          <w:color w:val="231F20"/>
        </w:rPr>
        <w:t>integrierte</w:t>
      </w:r>
      <w:r>
        <w:rPr>
          <w:color w:val="231F20"/>
          <w:spacing w:val="1"/>
        </w:rPr>
        <w:t> </w:t>
      </w:r>
      <w:r>
        <w:rPr>
          <w:color w:val="231F20"/>
        </w:rPr>
        <w:t>2.9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MW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PV-Anlage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an</w:t>
      </w:r>
      <w:r>
        <w:rPr>
          <w:color w:val="231F20"/>
          <w:spacing w:val="-8"/>
        </w:rPr>
        <w:t> </w:t>
      </w:r>
      <w:r>
        <w:rPr>
          <w:color w:val="231F20"/>
        </w:rPr>
        <w:t>der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Industriestrasse</w:t>
      </w:r>
      <w:r>
        <w:rPr>
          <w:color w:val="231F20"/>
          <w:spacing w:val="-8"/>
        </w:rPr>
        <w:t> </w:t>
      </w:r>
      <w:r>
        <w:rPr>
          <w:color w:val="231F20"/>
        </w:rPr>
        <w:t>21</w:t>
      </w:r>
      <w:r>
        <w:rPr>
          <w:color w:val="231F20"/>
          <w:spacing w:val="-8"/>
        </w:rPr>
        <w:t> </w:t>
      </w:r>
      <w:r>
        <w:rPr>
          <w:color w:val="231F20"/>
        </w:rPr>
        <w:t>in</w:t>
      </w:r>
      <w:r>
        <w:rPr>
          <w:color w:val="231F20"/>
          <w:spacing w:val="41"/>
        </w:rPr>
        <w:t> </w:t>
      </w:r>
      <w:r>
        <w:rPr>
          <w:color w:val="231F20"/>
          <w:spacing w:val="-2"/>
        </w:rPr>
        <w:t>Wohlen</w:t>
      </w:r>
      <w:r>
        <w:rPr>
          <w:color w:val="231F20"/>
          <w:spacing w:val="19"/>
        </w:rPr>
        <w:t> </w:t>
      </w:r>
      <w:r>
        <w:rPr>
          <w:color w:val="231F20"/>
        </w:rPr>
        <w:t>benötigt</w:t>
      </w:r>
      <w:r>
        <w:rPr>
          <w:color w:val="231F20"/>
          <w:spacing w:val="19"/>
        </w:rPr>
        <w:t> </w:t>
      </w:r>
      <w:r>
        <w:rPr>
          <w:color w:val="231F20"/>
        </w:rPr>
        <w:t>bloss</w:t>
      </w:r>
      <w:r>
        <w:rPr>
          <w:color w:val="231F20"/>
          <w:spacing w:val="19"/>
        </w:rPr>
        <w:t> </w:t>
      </w:r>
      <w:r>
        <w:rPr>
          <w:color w:val="231F20"/>
        </w:rPr>
        <w:t>8%</w:t>
      </w:r>
      <w:r>
        <w:rPr>
          <w:color w:val="231F20"/>
          <w:spacing w:val="19"/>
        </w:rPr>
        <w:t> </w:t>
      </w:r>
      <w:r>
        <w:rPr>
          <w:color w:val="231F20"/>
        </w:rPr>
        <w:t>der</w:t>
      </w:r>
      <w:r>
        <w:rPr>
          <w:color w:val="231F20"/>
          <w:spacing w:val="19"/>
        </w:rPr>
        <w:t> </w:t>
      </w:r>
      <w:r>
        <w:rPr>
          <w:color w:val="231F20"/>
        </w:rPr>
        <w:t>Dachfläche</w:t>
      </w:r>
      <w:r>
        <w:rPr>
          <w:color w:val="231F20"/>
          <w:spacing w:val="24"/>
        </w:rPr>
        <w:t> </w:t>
      </w:r>
      <w:r>
        <w:rPr>
          <w:color w:val="231F20"/>
        </w:rPr>
        <w:t>für</w:t>
      </w:r>
      <w:r>
        <w:rPr>
          <w:color w:val="231F20"/>
          <w:spacing w:val="-13"/>
        </w:rPr>
        <w:t> </w:t>
      </w:r>
      <w:r>
        <w:rPr>
          <w:color w:val="231F20"/>
        </w:rPr>
        <w:t>eine</w:t>
      </w:r>
      <w:r>
        <w:rPr>
          <w:color w:val="231F20"/>
          <w:spacing w:val="-14"/>
        </w:rPr>
        <w:t> </w:t>
      </w:r>
      <w:r>
        <w:rPr>
          <w:color w:val="231F20"/>
        </w:rPr>
        <w:t>optimale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Tageslichtnutzung,</w:t>
      </w:r>
      <w:r>
        <w:rPr>
          <w:color w:val="231F20"/>
          <w:spacing w:val="-24"/>
        </w:rPr>
        <w:t> </w:t>
      </w:r>
      <w:r>
        <w:rPr>
          <w:color w:val="231F20"/>
        </w:rPr>
        <w:t>weil</w:t>
      </w:r>
      <w:r>
        <w:rPr>
          <w:color w:val="231F20"/>
          <w:spacing w:val="-14"/>
        </w:rPr>
        <w:t> </w:t>
      </w:r>
      <w:r>
        <w:rPr>
          <w:color w:val="231F20"/>
        </w:rPr>
        <w:t>die</w:t>
      </w:r>
      <w:r>
        <w:rPr>
          <w:color w:val="231F20"/>
          <w:spacing w:val="22"/>
        </w:rPr>
        <w:t> </w:t>
      </w:r>
      <w:r>
        <w:rPr>
          <w:color w:val="231F20"/>
        </w:rPr>
        <w:t>vertikale</w:t>
      </w:r>
      <w:r>
        <w:rPr>
          <w:color w:val="231F20"/>
          <w:spacing w:val="30"/>
        </w:rPr>
        <w:t> </w:t>
      </w:r>
      <w:r>
        <w:rPr>
          <w:color w:val="231F20"/>
        </w:rPr>
        <w:t>Lichtnutzung</w:t>
      </w:r>
      <w:r>
        <w:rPr>
          <w:color w:val="231F20"/>
          <w:spacing w:val="31"/>
        </w:rPr>
        <w:t> </w:t>
      </w:r>
      <w:r>
        <w:rPr>
          <w:color w:val="231F20"/>
        </w:rPr>
        <w:t>über</w:t>
      </w:r>
      <w:r>
        <w:rPr>
          <w:color w:val="231F20"/>
          <w:spacing w:val="30"/>
        </w:rPr>
        <w:t> </w:t>
      </w:r>
      <w:r>
        <w:rPr>
          <w:color w:val="231F20"/>
        </w:rPr>
        <w:t>fünf</w:t>
      </w:r>
      <w:r>
        <w:rPr>
          <w:color w:val="231F20"/>
          <w:spacing w:val="31"/>
        </w:rPr>
        <w:t> </w:t>
      </w:r>
      <w:r>
        <w:rPr>
          <w:color w:val="231F20"/>
        </w:rPr>
        <w:t>Mal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wirk-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samer</w:t>
      </w:r>
      <w:r>
        <w:rPr>
          <w:color w:val="231F20"/>
          <w:spacing w:val="27"/>
        </w:rPr>
        <w:t> </w:t>
      </w:r>
      <w:r>
        <w:rPr>
          <w:color w:val="231F20"/>
        </w:rPr>
        <w:t>ist</w:t>
      </w:r>
      <w:r>
        <w:rPr>
          <w:color w:val="231F20"/>
          <w:spacing w:val="28"/>
        </w:rPr>
        <w:t> </w:t>
      </w:r>
      <w:r>
        <w:rPr>
          <w:color w:val="231F20"/>
        </w:rPr>
        <w:t>als</w:t>
      </w:r>
      <w:r>
        <w:rPr>
          <w:color w:val="231F20"/>
          <w:spacing w:val="27"/>
        </w:rPr>
        <w:t> </w:t>
      </w:r>
      <w:r>
        <w:rPr>
          <w:color w:val="231F20"/>
        </w:rPr>
        <w:t>diffuses</w:t>
      </w:r>
      <w:r>
        <w:rPr>
          <w:color w:val="231F20"/>
          <w:spacing w:val="28"/>
        </w:rPr>
        <w:t> </w:t>
      </w:r>
      <w:r>
        <w:rPr>
          <w:color w:val="231F20"/>
        </w:rPr>
        <w:t>Licht.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Entsprechend</w:t>
      </w:r>
      <w:r>
        <w:rPr>
          <w:color w:val="231F20"/>
          <w:spacing w:val="30"/>
        </w:rPr>
        <w:t> </w:t>
      </w:r>
      <w:r>
        <w:rPr>
          <w:color w:val="231F20"/>
          <w:spacing w:val="1"/>
        </w:rPr>
        <w:t>nutzt</w:t>
      </w:r>
      <w:r>
        <w:rPr>
          <w:color w:val="231F20"/>
          <w:spacing w:val="-14"/>
        </w:rPr>
        <w:t> </w:t>
      </w:r>
      <w:r>
        <w:rPr>
          <w:color w:val="231F20"/>
        </w:rPr>
        <w:t>die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PV-Anlage</w:t>
      </w:r>
      <w:r>
        <w:rPr>
          <w:color w:val="231F20"/>
          <w:spacing w:val="-14"/>
        </w:rPr>
        <w:t> </w:t>
      </w:r>
      <w:r>
        <w:rPr>
          <w:color w:val="231F20"/>
        </w:rPr>
        <w:t>von</w:t>
      </w:r>
      <w:r>
        <w:rPr>
          <w:color w:val="231F20"/>
          <w:spacing w:val="-14"/>
        </w:rPr>
        <w:t> </w:t>
      </w:r>
      <w:r>
        <w:rPr>
          <w:color w:val="231F20"/>
        </w:rPr>
        <w:t>2013</w:t>
      </w:r>
      <w:r>
        <w:rPr>
          <w:color w:val="231F20"/>
          <w:spacing w:val="-14"/>
        </w:rPr>
        <w:t> </w:t>
      </w:r>
      <w:r>
        <w:rPr>
          <w:color w:val="231F20"/>
        </w:rPr>
        <w:t>rund</w:t>
      </w:r>
      <w:r>
        <w:rPr>
          <w:color w:val="231F20"/>
          <w:spacing w:val="-14"/>
        </w:rPr>
        <w:t> </w:t>
      </w:r>
      <w:r>
        <w:rPr>
          <w:color w:val="231F20"/>
        </w:rPr>
        <w:t>92%</w:t>
      </w:r>
      <w:r>
        <w:rPr>
          <w:color w:val="231F20"/>
          <w:spacing w:val="-14"/>
        </w:rPr>
        <w:t> </w:t>
      </w:r>
      <w:r>
        <w:rPr>
          <w:color w:val="231F20"/>
        </w:rPr>
        <w:t>der</w:t>
      </w:r>
      <w:r>
        <w:rPr>
          <w:color w:val="231F20"/>
          <w:spacing w:val="23"/>
        </w:rPr>
        <w:t> </w:t>
      </w:r>
      <w:r>
        <w:rPr>
          <w:color w:val="231F20"/>
        </w:rPr>
        <w:t>Dachfläche</w:t>
      </w:r>
      <w:r>
        <w:rPr>
          <w:color w:val="231F20"/>
          <w:spacing w:val="2"/>
        </w:rPr>
        <w:t> </w:t>
      </w:r>
      <w:r>
        <w:rPr>
          <w:color w:val="231F20"/>
        </w:rPr>
        <w:t>zur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Stromerzeugung,</w:t>
      </w:r>
      <w:r>
        <w:rPr>
          <w:color w:val="231F20"/>
          <w:spacing w:val="40"/>
        </w:rPr>
        <w:t> </w:t>
      </w:r>
      <w:r>
        <w:rPr>
          <w:color w:val="231F20"/>
        </w:rPr>
        <w:t>dies</w:t>
      </w:r>
      <w:r>
        <w:rPr>
          <w:color w:val="231F20"/>
          <w:spacing w:val="2"/>
        </w:rPr>
        <w:t> </w:t>
      </w:r>
      <w:r>
        <w:rPr>
          <w:color w:val="231F20"/>
        </w:rPr>
        <w:t>er-</w:t>
      </w:r>
      <w:r>
        <w:rPr>
          <w:color w:val="231F20"/>
          <w:spacing w:val="24"/>
        </w:rPr>
        <w:t> </w:t>
      </w:r>
      <w:r>
        <w:rPr>
          <w:color w:val="231F20"/>
        </w:rPr>
        <w:t>weist</w:t>
      </w:r>
      <w:r>
        <w:rPr>
          <w:color w:val="231F20"/>
          <w:spacing w:val="-6"/>
        </w:rPr>
        <w:t> </w:t>
      </w:r>
      <w:r>
        <w:rPr>
          <w:color w:val="231F20"/>
        </w:rPr>
        <w:t>sich</w:t>
      </w:r>
      <w:r>
        <w:rPr>
          <w:color w:val="231F20"/>
          <w:spacing w:val="-6"/>
        </w:rPr>
        <w:t> </w:t>
      </w:r>
      <w:r>
        <w:rPr>
          <w:color w:val="231F20"/>
        </w:rPr>
        <w:t>auch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ökonomisch</w:t>
      </w:r>
      <w:r>
        <w:rPr>
          <w:color w:val="231F20"/>
          <w:spacing w:val="-6"/>
        </w:rPr>
        <w:t> </w:t>
      </w:r>
      <w:r>
        <w:rPr>
          <w:color w:val="231F20"/>
        </w:rPr>
        <w:t>als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sehr</w:t>
      </w:r>
      <w:r>
        <w:rPr>
          <w:color w:val="231F20"/>
          <w:spacing w:val="-6"/>
        </w:rPr>
        <w:t> </w:t>
      </w:r>
      <w:r>
        <w:rPr>
          <w:color w:val="231F20"/>
        </w:rPr>
        <w:t>vorteil-</w:t>
      </w:r>
      <w:r>
        <w:rPr>
          <w:color w:val="231F20"/>
          <w:spacing w:val="29"/>
        </w:rPr>
        <w:t> </w:t>
      </w:r>
      <w:r>
        <w:rPr>
          <w:color w:val="231F20"/>
          <w:spacing w:val="1"/>
        </w:rPr>
        <w:t>haft.</w:t>
      </w:r>
      <w:r>
        <w:rPr>
          <w:color w:val="231F20"/>
          <w:spacing w:val="-4"/>
        </w:rPr>
        <w:t> </w:t>
      </w:r>
      <w:r>
        <w:rPr>
          <w:color w:val="231F20"/>
        </w:rPr>
        <w:t>Mit</w:t>
      </w:r>
      <w:r>
        <w:rPr>
          <w:color w:val="231F20"/>
          <w:spacing w:val="7"/>
        </w:rPr>
        <w:t> </w:t>
      </w:r>
      <w:r>
        <w:rPr>
          <w:color w:val="231F20"/>
        </w:rPr>
        <w:t>einer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vergleichbaren,</w:t>
      </w:r>
      <w:r>
        <w:rPr>
          <w:color w:val="231F20"/>
          <w:spacing w:val="-4"/>
        </w:rPr>
        <w:t> </w:t>
      </w:r>
      <w:r>
        <w:rPr>
          <w:color w:val="231F20"/>
        </w:rPr>
        <w:t>92%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solaren</w:t>
      </w:r>
      <w:r>
        <w:rPr>
          <w:color w:val="231F20"/>
          <w:spacing w:val="24"/>
        </w:rPr>
        <w:t> </w:t>
      </w:r>
      <w:r>
        <w:rPr>
          <w:color w:val="231F20"/>
        </w:rPr>
        <w:t>Dachflächennutzung,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könnte</w:t>
      </w:r>
      <w:r>
        <w:rPr>
          <w:color w:val="231F20"/>
          <w:spacing w:val="23"/>
        </w:rPr>
        <w:t> </w:t>
      </w:r>
      <w:r>
        <w:rPr>
          <w:color w:val="231F20"/>
        </w:rPr>
        <w:t>die</w:t>
      </w:r>
      <w:r>
        <w:rPr>
          <w:color w:val="231F20"/>
          <w:spacing w:val="24"/>
        </w:rPr>
        <w:t> </w:t>
      </w:r>
      <w:r>
        <w:rPr>
          <w:color w:val="231F20"/>
        </w:rPr>
        <w:t>neue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Eis-</w:t>
      </w:r>
      <w:r>
        <w:rPr>
          <w:color w:val="231F20"/>
          <w:spacing w:val="27"/>
        </w:rPr>
        <w:t> </w:t>
      </w:r>
      <w:r>
        <w:rPr>
          <w:color w:val="231F20"/>
        </w:rPr>
        <w:t>halle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wahrscheinlich</w:t>
      </w:r>
      <w:r>
        <w:rPr>
          <w:color w:val="231F20"/>
          <w:spacing w:val="-12"/>
        </w:rPr>
        <w:t> </w:t>
      </w:r>
      <w:r>
        <w:rPr>
          <w:color w:val="231F20"/>
        </w:rPr>
        <w:t>optimale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Tageslichtver-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hältnisse</w:t>
      </w:r>
      <w:r>
        <w:rPr>
          <w:color w:val="231F20"/>
          <w:spacing w:val="28"/>
        </w:rPr>
        <w:t> </w:t>
      </w:r>
      <w:r>
        <w:rPr>
          <w:color w:val="231F20"/>
        </w:rPr>
        <w:t>und</w:t>
      </w:r>
      <w:r>
        <w:rPr>
          <w:color w:val="231F20"/>
          <w:spacing w:val="29"/>
        </w:rPr>
        <w:t> </w:t>
      </w:r>
      <w:r>
        <w:rPr>
          <w:color w:val="231F20"/>
        </w:rPr>
        <w:t>gleichzeitig</w:t>
      </w:r>
      <w:r>
        <w:rPr>
          <w:color w:val="231F20"/>
          <w:spacing w:val="28"/>
        </w:rPr>
        <w:t> </w:t>
      </w:r>
      <w:r>
        <w:rPr>
          <w:color w:val="231F20"/>
        </w:rPr>
        <w:t>546’770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kWh/a</w:t>
      </w:r>
      <w:r>
        <w:rPr>
          <w:color w:val="231F20"/>
          <w:spacing w:val="30"/>
        </w:rPr>
        <w:t> </w:t>
      </w:r>
      <w:r>
        <w:rPr>
          <w:color w:val="231F20"/>
        </w:rPr>
        <w:t>erzeugen.</w:t>
      </w:r>
      <w:r>
        <w:rPr>
          <w:color w:val="231F20"/>
          <w:spacing w:val="44"/>
        </w:rPr>
        <w:t> </w:t>
      </w:r>
      <w:r>
        <w:rPr>
          <w:color w:val="231F20"/>
        </w:rPr>
        <w:t>Damit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wäre</w:t>
      </w:r>
      <w:r>
        <w:rPr>
          <w:color w:val="231F20"/>
          <w:spacing w:val="6"/>
        </w:rPr>
        <w:t> </w:t>
      </w:r>
      <w:r>
        <w:rPr>
          <w:color w:val="231F20"/>
        </w:rPr>
        <w:t>der</w:t>
      </w:r>
      <w:r>
        <w:rPr>
          <w:color w:val="231F20"/>
          <w:spacing w:val="6"/>
        </w:rPr>
        <w:t> </w:t>
      </w:r>
      <w:r>
        <w:rPr>
          <w:color w:val="231F20"/>
        </w:rPr>
        <w:t>Gesamtbedarf</w:t>
      </w:r>
      <w:r>
        <w:rPr>
          <w:color w:val="231F20"/>
          <w:spacing w:val="28"/>
        </w:rPr>
        <w:t> </w:t>
      </w:r>
      <w:r>
        <w:rPr>
          <w:color w:val="231F20"/>
        </w:rPr>
        <w:t>der Eishalle zu 96% gedeckt.</w:t>
      </w:r>
      <w:r>
        <w:rPr/>
      </w:r>
    </w:p>
    <w:p>
      <w:pPr>
        <w:spacing w:line="230" w:lineRule="exact" w:before="52"/>
        <w:ind w:left="106" w:right="5" w:firstLine="0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/>
        <w:br w:type="column"/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commune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argovienne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Wohlen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inau-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guré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première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patinoire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1976.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Non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couverte,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elle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était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exposée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toutes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con-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ditions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météorologiques.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Après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40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ans,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il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été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décidé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d’en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construire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une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nouvelle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l’équiper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d’un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toit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photovoltaïque,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pour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un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coût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global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12,3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millions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francs.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line="230" w:lineRule="exact" w:before="0"/>
        <w:ind w:left="106" w:right="0" w:firstLine="226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architectes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voulaient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que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l’installation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PV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378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kW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s’intègre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très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bien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au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site,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tout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créant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des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synergies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économiques.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toit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décalé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laisse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entrer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lumière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jour,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ce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qui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réduit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consommation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frais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d’exploitation.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3’525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m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position w:val="6"/>
          <w:sz w:val="10"/>
          <w:szCs w:val="10"/>
        </w:rPr>
        <w:t>2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position w:val="6"/>
          <w:sz w:val="10"/>
          <w:szCs w:val="10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toit,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2’250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m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position w:val="6"/>
          <w:sz w:val="10"/>
          <w:szCs w:val="10"/>
        </w:rPr>
        <w:t>2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position w:val="6"/>
          <w:sz w:val="10"/>
          <w:szCs w:val="10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(63,8%)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sont équipés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modules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solaires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monocristallins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générant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379’400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kWh/a.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Cela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représente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67%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des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besoins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énergétiques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totaux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570’400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kWh/a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pour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produire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glace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alimenter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parc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Schüwo,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avec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piscine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extérieure,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restaurant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mini-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golf.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1’275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m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position w:val="6"/>
          <w:sz w:val="10"/>
          <w:szCs w:val="10"/>
        </w:rPr>
        <w:t>2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position w:val="6"/>
          <w:sz w:val="10"/>
          <w:szCs w:val="10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(36,2%)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restants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toit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sont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utilisés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partie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pour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laisser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passer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lumière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du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jour.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line="230" w:lineRule="exact" w:before="0"/>
        <w:ind w:left="106" w:right="5" w:firstLine="226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halle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société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Ferrowohlen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AG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–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située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Industriestrasse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21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récompensée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en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2013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par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un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Prix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 Solaire Suisse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pour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 son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installation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PV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2,9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MW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–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exploite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seule-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ment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8%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toiture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pour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une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utilisation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optimale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lumière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jour,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car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elle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est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cinq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fois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plus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efficace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verticalement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qu’en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éclairage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diffus.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L’installation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PV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2013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emploie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ainsi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92%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toit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pour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générer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courant.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Appliquer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cette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même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proportion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nouvelle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patinoire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aurait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permis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pro-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duire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546’770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kWh/a,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tout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assurant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bonnes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conditions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d’éclairage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naturel.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Cela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aurait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couvert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96%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besoins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énergé-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tiques.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before="101"/>
        <w:ind w:left="106" w:right="0" w:firstLine="0"/>
        <w:jc w:val="left"/>
        <w:rPr>
          <w:rFonts w:ascii="Theinhardt Black" w:hAnsi="Theinhardt Black" w:cs="Theinhardt Black" w:eastAsia="Theinhardt Black"/>
          <w:sz w:val="14"/>
          <w:szCs w:val="14"/>
        </w:rPr>
      </w:pPr>
      <w:r>
        <w:rPr/>
        <w:br w:type="column"/>
      </w:r>
      <w:r>
        <w:rPr>
          <w:rFonts w:ascii="Theinhardt Black"/>
          <w:b/>
          <w:color w:val="231F20"/>
          <w:sz w:val="14"/>
        </w:rPr>
        <w:t>Technische </w:t>
      </w:r>
      <w:r>
        <w:rPr>
          <w:rFonts w:ascii="Theinhardt Black"/>
          <w:b/>
          <w:color w:val="231F20"/>
          <w:spacing w:val="1"/>
          <w:sz w:val="14"/>
        </w:rPr>
        <w:t>Daten</w:t>
      </w:r>
      <w:r>
        <w:rPr>
          <w:rFonts w:ascii="Theinhardt Black"/>
          <w:sz w:val="14"/>
        </w:rPr>
      </w:r>
    </w:p>
    <w:p>
      <w:pPr>
        <w:spacing w:line="240" w:lineRule="auto" w:before="10"/>
        <w:rPr>
          <w:rFonts w:ascii="Theinhardt Black" w:hAnsi="Theinhardt Black" w:cs="Theinhardt Black" w:eastAsia="Theinhardt Black"/>
          <w:b/>
          <w:bCs/>
          <w:sz w:val="2"/>
          <w:szCs w:val="2"/>
        </w:rPr>
      </w:pPr>
    </w:p>
    <w:p>
      <w:pPr>
        <w:spacing w:line="20" w:lineRule="atLeast"/>
        <w:ind w:left="106" w:right="0" w:firstLine="0"/>
        <w:rPr>
          <w:rFonts w:ascii="Theinhardt Black" w:hAnsi="Theinhardt Black" w:cs="Theinhardt Black" w:eastAsia="Theinhardt Black"/>
          <w:sz w:val="2"/>
          <w:szCs w:val="2"/>
        </w:rPr>
      </w:pPr>
      <w:r>
        <w:rPr>
          <w:rFonts w:ascii="Theinhardt Black" w:hAnsi="Theinhardt Black" w:cs="Theinhardt Black" w:eastAsia="Theinhardt Black"/>
          <w:sz w:val="2"/>
          <w:szCs w:val="2"/>
        </w:rPr>
        <w:pict>
          <v:group style="width:167.25pt;height:.45pt;mso-position-horizontal-relative:char;mso-position-vertical-relative:line" coordorigin="0,0" coordsize="3345,9">
            <v:group style="position:absolute;left:21;top:4;width:3311;height:2" coordorigin="21,4" coordsize="3311,2">
              <v:shape style="position:absolute;left:21;top:4;width:3311;height:2" coordorigin="21,4" coordsize="3311,0" path="m21,4l3332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3341;top:4;width:2;height:2" coordorigin="3341,4" coordsize="2,2">
              <v:shape style="position:absolute;left:3341;top:4;width:2;height:2" coordorigin="3341,4" coordsize="0,0" path="m3341,4l3341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lack" w:hAnsi="Theinhardt Black" w:cs="Theinhardt Black" w:eastAsia="Theinhardt Black"/>
          <w:sz w:val="2"/>
          <w:szCs w:val="2"/>
        </w:rPr>
      </w:r>
    </w:p>
    <w:p>
      <w:pPr>
        <w:tabs>
          <w:tab w:pos="2529" w:val="left" w:leader="none"/>
          <w:tab w:pos="2992" w:val="left" w:leader="none"/>
        </w:tabs>
        <w:spacing w:line="172" w:lineRule="exact" w:before="66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/>
          <w:b/>
          <w:color w:val="231F20"/>
          <w:w w:val="95"/>
          <w:sz w:val="14"/>
        </w:rPr>
        <w:t>Strombedarf</w:t>
        <w:tab/>
      </w:r>
      <w:r>
        <w:rPr>
          <w:rFonts w:ascii="Theinhardt Regular"/>
          <w:color w:val="231F20"/>
          <w:sz w:val="14"/>
        </w:rPr>
        <w:t>%</w:t>
        <w:tab/>
      </w:r>
      <w:r>
        <w:rPr>
          <w:rFonts w:ascii="Theinhardt Regular"/>
          <w:color w:val="231F20"/>
          <w:spacing w:val="-1"/>
          <w:sz w:val="14"/>
        </w:rPr>
        <w:t>kWh/a</w:t>
      </w:r>
      <w:r>
        <w:rPr>
          <w:rFonts w:ascii="Theinhardt Regular"/>
          <w:sz w:val="14"/>
        </w:rPr>
      </w:r>
    </w:p>
    <w:p>
      <w:pPr>
        <w:tabs>
          <w:tab w:pos="2410" w:val="left" w:leader="none"/>
        </w:tabs>
        <w:spacing w:line="172" w:lineRule="exact" w:before="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4"/>
          <w:szCs w:val="14"/>
        </w:rPr>
        <w:t>Gesamt-EB:</w:t>
        <w:tab/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100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   </w:t>
      </w:r>
      <w:r>
        <w:rPr>
          <w:rFonts w:ascii="Theinhardt Regular" w:hAnsi="Theinhardt Regular" w:cs="Theinhardt Regular" w:eastAsia="Theinhardt Regular"/>
          <w:color w:val="231F20"/>
          <w:spacing w:val="6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570’400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line="172" w:lineRule="exact" w:before="32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Energieversorgung</w:t>
      </w:r>
      <w:r>
        <w:rPr>
          <w:rFonts w:ascii="Theinhardt Bold"/>
          <w:sz w:val="14"/>
        </w:rPr>
      </w:r>
    </w:p>
    <w:p>
      <w:pPr>
        <w:tabs>
          <w:tab w:pos="965" w:val="left" w:leader="none"/>
          <w:tab w:pos="1335" w:val="left" w:leader="none"/>
          <w:tab w:pos="1898" w:val="left" w:leader="none"/>
          <w:tab w:pos="2493" w:val="left" w:leader="none"/>
          <w:tab w:pos="2992" w:val="left" w:leader="none"/>
        </w:tabs>
        <w:spacing w:line="207" w:lineRule="auto" w:before="5"/>
        <w:ind w:left="106" w:right="165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w w:val="95"/>
          <w:sz w:val="14"/>
          <w:szCs w:val="14"/>
        </w:rPr>
        <w:t>Eigen-EV:</w:t>
        <w:tab/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m</w:t>
      </w:r>
      <w:r>
        <w:rPr>
          <w:rFonts w:ascii="Theinhardt Regular" w:hAnsi="Theinhardt Regular" w:cs="Theinhardt Regular" w:eastAsia="Theinhardt Regular"/>
          <w:color w:val="231F20"/>
          <w:spacing w:val="-1"/>
          <w:position w:val="5"/>
          <w:sz w:val="8"/>
          <w:szCs w:val="8"/>
        </w:rPr>
        <w:t>2</w:t>
      </w:r>
      <w:r>
        <w:rPr>
          <w:rFonts w:ascii="Theinhardt Regular" w:hAnsi="Theinhardt Regular" w:cs="Theinhardt Regular" w:eastAsia="Theinhardt Regular"/>
          <w:color w:val="231F20"/>
          <w:position w:val="5"/>
          <w:sz w:val="8"/>
          <w:szCs w:val="8"/>
        </w:rPr>
        <w:t>       </w:t>
      </w:r>
      <w:r>
        <w:rPr>
          <w:rFonts w:ascii="Theinhardt Regular" w:hAnsi="Theinhardt Regular" w:cs="Theinhardt Regular" w:eastAsia="Theinhardt Regular"/>
          <w:color w:val="231F20"/>
          <w:spacing w:val="12"/>
          <w:position w:val="5"/>
          <w:sz w:val="8"/>
          <w:szCs w:val="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kWp </w:t>
      </w:r>
      <w:r>
        <w:rPr>
          <w:rFonts w:ascii="Theinhardt Regular" w:hAnsi="Theinhardt Regular" w:cs="Theinhardt Regular" w:eastAsia="Theinhardt Regular"/>
          <w:color w:val="231F20"/>
          <w:spacing w:val="37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kWh/m</w:t>
      </w:r>
      <w:r>
        <w:rPr>
          <w:rFonts w:ascii="Theinhardt Regular" w:hAnsi="Theinhardt Regular" w:cs="Theinhardt Regular" w:eastAsia="Theinhardt Regular"/>
          <w:color w:val="231F20"/>
          <w:position w:val="5"/>
          <w:sz w:val="8"/>
          <w:szCs w:val="8"/>
        </w:rPr>
        <w:t>2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a</w:t>
        <w:tab/>
        <w:t>%</w:t>
        <w:tab/>
        <w:t>kWh/a</w:t>
      </w:r>
      <w:r>
        <w:rPr>
          <w:rFonts w:ascii="Theinhardt Regular" w:hAnsi="Theinhardt Regular" w:cs="Theinhardt Regular" w:eastAsia="Theinhardt Regular"/>
          <w:color w:val="231F20"/>
          <w:spacing w:val="38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PV-Dach: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2’250</w:t>
        <w:tab/>
      </w:r>
      <w:r>
        <w:rPr>
          <w:rFonts w:ascii="Theinhardt Regular" w:hAnsi="Theinhardt Regular" w:cs="Theinhardt Regular" w:eastAsia="Theinhardt Regular"/>
          <w:color w:val="231F20"/>
          <w:spacing w:val="-1"/>
          <w:w w:val="95"/>
          <w:sz w:val="14"/>
          <w:szCs w:val="14"/>
        </w:rPr>
        <w:t>378</w:t>
        <w:tab/>
      </w:r>
      <w:r>
        <w:rPr>
          <w:rFonts w:ascii="Theinhardt Regular" w:hAnsi="Theinhardt Regular" w:cs="Theinhardt Regular" w:eastAsia="Theinhardt Regular"/>
          <w:color w:val="231F20"/>
          <w:spacing w:val="-2"/>
          <w:sz w:val="14"/>
          <w:szCs w:val="14"/>
        </w:rPr>
        <w:t>168.6</w:t>
        <w:tab/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67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   </w:t>
      </w:r>
      <w:r>
        <w:rPr>
          <w:rFonts w:ascii="Theinhardt Regular" w:hAnsi="Theinhardt Regular" w:cs="Theinhardt Regular" w:eastAsia="Theinhardt Regular"/>
          <w:color w:val="231F20"/>
          <w:spacing w:val="4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379’400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tabs>
          <w:tab w:pos="1332" w:val="left" w:leader="none"/>
          <w:tab w:pos="1902" w:val="left" w:leader="none"/>
          <w:tab w:pos="2492" w:val="left" w:leader="none"/>
          <w:tab w:pos="2865" w:val="left" w:leader="none"/>
        </w:tabs>
        <w:spacing w:before="38"/>
        <w:ind w:left="106" w:right="0" w:firstLine="0"/>
        <w:jc w:val="left"/>
        <w:rPr>
          <w:rFonts w:ascii="Theinhardt Regular Italic" w:hAnsi="Theinhardt Regular Italic" w:cs="Theinhardt Regular Italic" w:eastAsia="Theinhardt Regular Italic"/>
          <w:sz w:val="14"/>
          <w:szCs w:val="14"/>
        </w:rPr>
      </w:pP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4"/>
          <w:szCs w:val="14"/>
        </w:rPr>
        <w:t>Potential*: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6"/>
          <w:sz w:val="14"/>
          <w:szCs w:val="14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4"/>
          <w:szCs w:val="14"/>
        </w:rPr>
        <w:t>3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4"/>
          <w:szCs w:val="14"/>
        </w:rPr>
        <w:t>’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4"/>
          <w:szCs w:val="14"/>
        </w:rPr>
        <w:t>243</w:t>
        <w:tab/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w w:val="95"/>
          <w:sz w:val="14"/>
          <w:szCs w:val="14"/>
        </w:rPr>
        <w:t>545</w:t>
        <w:tab/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4"/>
          <w:szCs w:val="14"/>
        </w:rPr>
        <w:t>168.6</w:t>
        <w:tab/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4"/>
          <w:szCs w:val="14"/>
        </w:rPr>
        <w:t>96</w:t>
        <w:tab/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4"/>
          <w:szCs w:val="14"/>
        </w:rPr>
        <w:t>546’770</w:t>
      </w:r>
      <w:r>
        <w:rPr>
          <w:rFonts w:ascii="Theinhardt Regular Italic" w:hAnsi="Theinhardt Regular Italic" w:cs="Theinhardt Regular Italic" w:eastAsia="Theinhardt Regular Italic"/>
          <w:sz w:val="14"/>
          <w:szCs w:val="14"/>
        </w:rPr>
      </w:r>
    </w:p>
    <w:tbl>
      <w:tblPr>
        <w:tblW w:w="0" w:type="auto"/>
        <w:jc w:val="left"/>
        <w:tblInd w:w="5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01"/>
        <w:gridCol w:w="603"/>
        <w:gridCol w:w="699"/>
      </w:tblGrid>
      <w:tr>
        <w:trPr>
          <w:trHeight w:val="200" w:hRule="exact"/>
        </w:trPr>
        <w:tc>
          <w:tcPr>
            <w:tcW w:w="2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 w:before="18"/>
              <w:ind w:left="55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pacing w:val="1"/>
                <w:sz w:val="14"/>
              </w:rPr>
              <w:t>Energiebilanz</w:t>
            </w:r>
            <w:r>
              <w:rPr>
                <w:rFonts w:ascii="Theinhardt Bold"/>
                <w:b/>
                <w:color w:val="231F20"/>
                <w:sz w:val="14"/>
              </w:rPr>
              <w:t> </w:t>
            </w:r>
            <w:r>
              <w:rPr>
                <w:rFonts w:ascii="Theinhardt Bold"/>
                <w:b/>
                <w:color w:val="231F20"/>
                <w:spacing w:val="1"/>
                <w:sz w:val="14"/>
              </w:rPr>
              <w:t>(Endenergie)</w:t>
            </w:r>
            <w:r>
              <w:rPr>
                <w:rFonts w:ascii="Theinhardt Bold"/>
                <w:sz w:val="14"/>
              </w:rPr>
            </w:r>
          </w:p>
        </w:tc>
        <w:tc>
          <w:tcPr>
            <w:tcW w:w="6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 w:before="18"/>
              <w:ind w:left="377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%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 w:before="18"/>
              <w:ind w:left="237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1"/>
                <w:sz w:val="14"/>
              </w:rPr>
              <w:t>kWh/a</w:t>
            </w:r>
            <w:r>
              <w:rPr>
                <w:rFonts w:ascii="Theinhardt Regular"/>
                <w:sz w:val="14"/>
              </w:rPr>
            </w:r>
          </w:p>
        </w:tc>
      </w:tr>
      <w:tr>
        <w:trPr>
          <w:trHeight w:val="158" w:hRule="exact"/>
        </w:trPr>
        <w:tc>
          <w:tcPr>
            <w:tcW w:w="2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/>
              <w:ind w:left="55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pacing w:val="1"/>
                <w:sz w:val="14"/>
              </w:rPr>
              <w:t>Eigenenergieversorgung:</w:t>
            </w:r>
            <w:r>
              <w:rPr>
                <w:rFonts w:ascii="Theinhardt Bold"/>
                <w:sz w:val="14"/>
              </w:rPr>
            </w:r>
          </w:p>
        </w:tc>
        <w:tc>
          <w:tcPr>
            <w:tcW w:w="6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/>
              <w:ind w:left="338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z w:val="14"/>
              </w:rPr>
              <w:t>67</w:t>
            </w:r>
            <w:r>
              <w:rPr>
                <w:rFonts w:ascii="Theinhardt Bold"/>
                <w:sz w:val="14"/>
              </w:rPr>
            </w:r>
          </w:p>
        </w:tc>
        <w:tc>
          <w:tcPr>
            <w:tcW w:w="6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/>
              <w:ind w:left="96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 w:hAnsi="Theinhardt Bold" w:cs="Theinhardt Bold" w:eastAsia="Theinhardt Bold"/>
                <w:b/>
                <w:bCs/>
                <w:color w:val="231F20"/>
                <w:sz w:val="14"/>
                <w:szCs w:val="14"/>
              </w:rPr>
              <w:t>379’400</w:t>
            </w:r>
            <w:r>
              <w:rPr>
                <w:rFonts w:ascii="Theinhardt Bold" w:hAnsi="Theinhardt Bold" w:cs="Theinhardt Bold" w:eastAsia="Theinhardt Bold"/>
                <w:sz w:val="14"/>
                <w:szCs w:val="14"/>
              </w:rPr>
            </w:r>
          </w:p>
        </w:tc>
      </w:tr>
      <w:tr>
        <w:trPr>
          <w:trHeight w:val="160" w:hRule="exact"/>
        </w:trPr>
        <w:tc>
          <w:tcPr>
            <w:tcW w:w="2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2"/>
                <w:sz w:val="14"/>
              </w:rPr>
              <w:t>Gesamtenergiebedarf: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258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1"/>
                <w:sz w:val="14"/>
              </w:rPr>
              <w:t>100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113" w:right="0"/>
              <w:jc w:val="left"/>
              <w:rPr>
                <w:rFonts w:ascii="Theinhardt Light" w:hAnsi="Theinhardt Light" w:cs="Theinhardt Light" w:eastAsia="Theinhardt Light"/>
                <w:sz w:val="14"/>
                <w:szCs w:val="14"/>
              </w:rPr>
            </w:pPr>
            <w:r>
              <w:rPr>
                <w:rFonts w:ascii="Theinhardt Light" w:hAnsi="Theinhardt Light" w:cs="Theinhardt Light" w:eastAsia="Theinhardt Light"/>
                <w:b w:val="0"/>
                <w:bCs w:val="0"/>
                <w:color w:val="231F20"/>
                <w:spacing w:val="-2"/>
                <w:sz w:val="14"/>
                <w:szCs w:val="14"/>
              </w:rPr>
              <w:t>570’400</w:t>
            </w:r>
            <w:r>
              <w:rPr>
                <w:rFonts w:ascii="Theinhardt Light" w:hAnsi="Theinhardt Light" w:cs="Theinhardt Light" w:eastAsia="Theinhardt Light"/>
                <w:sz w:val="14"/>
                <w:szCs w:val="14"/>
              </w:rPr>
            </w:r>
          </w:p>
        </w:tc>
      </w:tr>
      <w:tr>
        <w:trPr>
          <w:trHeight w:val="339" w:hRule="exact"/>
        </w:trPr>
        <w:tc>
          <w:tcPr>
            <w:tcW w:w="2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5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1"/>
                <w:sz w:val="14"/>
              </w:rPr>
              <w:t>Fremdenergiezufuhr:</w:t>
            </w:r>
            <w:r>
              <w:rPr>
                <w:rFonts w:ascii="Theinhardt Regular"/>
                <w:sz w:val="14"/>
              </w:rPr>
            </w:r>
          </w:p>
          <w:p>
            <w:pPr>
              <w:pStyle w:val="TableParagraph"/>
              <w:spacing w:line="142" w:lineRule="exact" w:before="32"/>
              <w:ind w:left="55" w:right="0"/>
              <w:jc w:val="left"/>
              <w:rPr>
                <w:rFonts w:ascii="Theinhardt Regular Italic" w:hAnsi="Theinhardt Regular Italic" w:cs="Theinhardt Regular Italic" w:eastAsia="Theinhardt Regular Italic"/>
                <w:sz w:val="14"/>
                <w:szCs w:val="14"/>
              </w:rPr>
            </w:pPr>
            <w:r>
              <w:rPr>
                <w:rFonts w:ascii="Theinhardt Regular Italic" w:hAnsi="Theinhardt Regular Italic"/>
                <w:i/>
                <w:color w:val="231F20"/>
                <w:spacing w:val="2"/>
                <w:sz w:val="14"/>
              </w:rPr>
              <w:t>*Potential</w:t>
            </w:r>
            <w:r>
              <w:rPr>
                <w:rFonts w:ascii="Theinhardt Regular Italic" w:hAnsi="Theinhardt Regular Italic"/>
                <w:i/>
                <w:color w:val="231F20"/>
                <w:sz w:val="14"/>
              </w:rPr>
              <w:t> </w:t>
            </w:r>
            <w:r>
              <w:rPr>
                <w:rFonts w:ascii="Theinhardt Regular Italic" w:hAnsi="Theinhardt Regular Italic"/>
                <w:i/>
                <w:color w:val="231F20"/>
                <w:spacing w:val="2"/>
                <w:sz w:val="14"/>
              </w:rPr>
              <w:t>Dachfläche</w:t>
            </w:r>
            <w:r>
              <w:rPr>
                <w:rFonts w:ascii="Theinhardt Regular Italic" w:hAnsi="Theinhardt Regular Italic"/>
                <w:sz w:val="14"/>
              </w:rPr>
            </w:r>
          </w:p>
        </w:tc>
        <w:tc>
          <w:tcPr>
            <w:tcW w:w="6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5" w:lineRule="exact"/>
              <w:ind w:left="338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pacing w:val="2"/>
                <w:sz w:val="14"/>
              </w:rPr>
              <w:t>3</w:t>
            </w:r>
            <w:r>
              <w:rPr>
                <w:rFonts w:ascii="Theinhardt Bold"/>
                <w:b/>
                <w:color w:val="231F20"/>
                <w:sz w:val="14"/>
              </w:rPr>
              <w:t>3</w:t>
            </w:r>
            <w:r>
              <w:rPr>
                <w:rFonts w:ascii="Theinhardt Bold"/>
                <w:sz w:val="14"/>
              </w:rPr>
            </w:r>
          </w:p>
        </w:tc>
        <w:tc>
          <w:tcPr>
            <w:tcW w:w="6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5" w:lineRule="exact"/>
              <w:ind w:left="100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 w:hAnsi="Theinhardt Bold" w:cs="Theinhardt Bold" w:eastAsia="Theinhardt Bold"/>
                <w:b/>
                <w:bCs/>
                <w:color w:val="231F20"/>
                <w:sz w:val="14"/>
                <w:szCs w:val="14"/>
              </w:rPr>
              <w:t>191’000</w:t>
            </w:r>
            <w:r>
              <w:rPr>
                <w:rFonts w:ascii="Theinhardt Bold" w:hAnsi="Theinhardt Bold" w:cs="Theinhardt Bold" w:eastAsia="Theinhardt Bold"/>
                <w:sz w:val="14"/>
                <w:szCs w:val="14"/>
              </w:rPr>
            </w:r>
          </w:p>
        </w:tc>
      </w:tr>
    </w:tbl>
    <w:p>
      <w:pPr>
        <w:spacing w:line="160" w:lineRule="exact" w:before="95"/>
        <w:ind w:left="106" w:right="165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pacing w:val="2"/>
          <w:sz w:val="14"/>
        </w:rPr>
        <w:t>Bestätigt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von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der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IBW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Energie</w:t>
      </w:r>
      <w:r>
        <w:rPr>
          <w:rFonts w:ascii="Theinhardt Bold" w:hAnsi="Theinhardt Bold"/>
          <w:b/>
          <w:color w:val="231F20"/>
          <w:sz w:val="14"/>
        </w:rPr>
        <w:t> AG</w:t>
      </w:r>
      <w:r>
        <w:rPr>
          <w:rFonts w:ascii="Theinhardt Bold" w:hAnsi="Theinhardt Bold"/>
          <w:b/>
          <w:color w:val="231F20"/>
          <w:spacing w:val="2"/>
          <w:sz w:val="14"/>
        </w:rPr>
        <w:t> </w:t>
      </w:r>
      <w:r>
        <w:rPr>
          <w:rFonts w:ascii="Theinhardt Regular" w:hAnsi="Theinhardt Regular"/>
          <w:color w:val="231F20"/>
          <w:sz w:val="14"/>
        </w:rPr>
        <w:t>am </w:t>
      </w:r>
      <w:r>
        <w:rPr>
          <w:rFonts w:ascii="Theinhardt Regular" w:hAnsi="Theinhardt Regular"/>
          <w:color w:val="231F20"/>
          <w:spacing w:val="-1"/>
          <w:sz w:val="14"/>
        </w:rPr>
        <w:t>30.08.2019,</w:t>
      </w:r>
      <w:r>
        <w:rPr>
          <w:rFonts w:ascii="Theinhardt Regular" w:hAnsi="Theinhardt Regular"/>
          <w:color w:val="231F20"/>
          <w:spacing w:val="38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Domenic</w:t>
      </w:r>
      <w:r>
        <w:rPr>
          <w:rFonts w:ascii="Theinhardt Regular" w:hAnsi="Theinhardt Regular"/>
          <w:color w:val="231F20"/>
          <w:sz w:val="14"/>
        </w:rPr>
        <w:t> Philipp, </w:t>
      </w:r>
      <w:r>
        <w:rPr>
          <w:rFonts w:ascii="Theinhardt Regular" w:hAnsi="Theinhardt Regular"/>
          <w:color w:val="231F20"/>
          <w:spacing w:val="-2"/>
          <w:sz w:val="14"/>
        </w:rPr>
        <w:t>Tel.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4"/>
          <w:sz w:val="14"/>
        </w:rPr>
        <w:t>+41</w:t>
      </w:r>
      <w:r>
        <w:rPr>
          <w:rFonts w:ascii="Theinhardt Regular" w:hAnsi="Theinhardt Regular"/>
          <w:color w:val="231F20"/>
          <w:sz w:val="14"/>
        </w:rPr>
        <w:t> 56 </w:t>
      </w:r>
      <w:r>
        <w:rPr>
          <w:rFonts w:ascii="Theinhardt Regular" w:hAnsi="Theinhardt Regular"/>
          <w:color w:val="231F20"/>
          <w:spacing w:val="-4"/>
          <w:sz w:val="14"/>
        </w:rPr>
        <w:t>619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4"/>
          <w:sz w:val="14"/>
        </w:rPr>
        <w:t>19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4"/>
          <w:sz w:val="14"/>
        </w:rPr>
        <w:t>19</w:t>
      </w:r>
      <w:r>
        <w:rPr>
          <w:rFonts w:ascii="Theinhardt Regular" w:hAnsi="Theinhardt Regular"/>
          <w:sz w:val="14"/>
        </w:rPr>
      </w:r>
    </w:p>
    <w:p>
      <w:pPr>
        <w:spacing w:before="105"/>
        <w:ind w:left="106" w:right="0" w:firstLine="0"/>
        <w:jc w:val="left"/>
        <w:rPr>
          <w:rFonts w:ascii="Theinhardt Black" w:hAnsi="Theinhardt Black" w:cs="Theinhardt Black" w:eastAsia="Theinhardt Black"/>
          <w:sz w:val="14"/>
          <w:szCs w:val="14"/>
        </w:rPr>
      </w:pPr>
      <w:r>
        <w:rPr>
          <w:rFonts w:ascii="Theinhardt Black"/>
          <w:b/>
          <w:color w:val="231F20"/>
          <w:spacing w:val="1"/>
          <w:sz w:val="14"/>
        </w:rPr>
        <w:t>Beteiligte</w:t>
      </w:r>
      <w:r>
        <w:rPr>
          <w:rFonts w:ascii="Theinhardt Black"/>
          <w:b/>
          <w:color w:val="231F20"/>
          <w:sz w:val="14"/>
        </w:rPr>
        <w:t> Personen</w:t>
      </w:r>
      <w:r>
        <w:rPr>
          <w:rFonts w:ascii="Theinhardt Black"/>
          <w:sz w:val="14"/>
        </w:rPr>
      </w:r>
    </w:p>
    <w:p>
      <w:pPr>
        <w:spacing w:line="240" w:lineRule="auto" w:before="10"/>
        <w:rPr>
          <w:rFonts w:ascii="Theinhardt Black" w:hAnsi="Theinhardt Black" w:cs="Theinhardt Black" w:eastAsia="Theinhardt Black"/>
          <w:b/>
          <w:bCs/>
          <w:sz w:val="2"/>
          <w:szCs w:val="2"/>
        </w:rPr>
      </w:pPr>
    </w:p>
    <w:p>
      <w:pPr>
        <w:spacing w:line="20" w:lineRule="atLeast"/>
        <w:ind w:left="106" w:right="0" w:firstLine="0"/>
        <w:rPr>
          <w:rFonts w:ascii="Theinhardt Black" w:hAnsi="Theinhardt Black" w:cs="Theinhardt Black" w:eastAsia="Theinhardt Black"/>
          <w:sz w:val="2"/>
          <w:szCs w:val="2"/>
        </w:rPr>
      </w:pPr>
      <w:r>
        <w:rPr>
          <w:rFonts w:ascii="Theinhardt Black" w:hAnsi="Theinhardt Black" w:cs="Theinhardt Black" w:eastAsia="Theinhardt Black"/>
          <w:sz w:val="2"/>
          <w:szCs w:val="2"/>
        </w:rPr>
        <w:pict>
          <v:group style="width:167.25pt;height:.45pt;mso-position-horizontal-relative:char;mso-position-vertical-relative:line" coordorigin="0,0" coordsize="3345,9">
            <v:group style="position:absolute;left:21;top:4;width:3311;height:2" coordorigin="21,4" coordsize="3311,2">
              <v:shape style="position:absolute;left:21;top:4;width:3311;height:2" coordorigin="21,4" coordsize="3311,0" path="m21,4l3332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3341;top:4;width:2;height:2" coordorigin="3341,4" coordsize="2,2">
              <v:shape style="position:absolute;left:3341;top:4;width:2;height:2" coordorigin="3341,4" coordsize="0,0" path="m3341,4l3341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lack" w:hAnsi="Theinhardt Black" w:cs="Theinhardt Black" w:eastAsia="Theinhardt Black"/>
          <w:sz w:val="2"/>
          <w:szCs w:val="2"/>
        </w:rPr>
      </w:r>
    </w:p>
    <w:p>
      <w:pPr>
        <w:spacing w:line="172" w:lineRule="exact" w:before="2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pacing w:val="2"/>
          <w:sz w:val="14"/>
        </w:rPr>
        <w:t>Standort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des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Gebäudes</w:t>
      </w:r>
      <w:r>
        <w:rPr>
          <w:rFonts w:ascii="Theinhardt Bold" w:hAnsi="Theinhardt Bold"/>
          <w:sz w:val="14"/>
        </w:rPr>
      </w:r>
    </w:p>
    <w:p>
      <w:pPr>
        <w:spacing w:line="207" w:lineRule="auto" w:before="5"/>
        <w:ind w:left="106" w:right="968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1"/>
          <w:sz w:val="14"/>
        </w:rPr>
        <w:t>Eishalle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Bünzmatt,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Wohlen</w:t>
      </w:r>
      <w:r>
        <w:rPr>
          <w:rFonts w:ascii="Theinhardt Regular" w:hAnsi="Theinhardt Regular"/>
          <w:color w:val="231F20"/>
          <w:spacing w:val="31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Sorenbühlweg</w:t>
      </w:r>
      <w:r>
        <w:rPr>
          <w:rFonts w:ascii="Theinhardt Regular" w:hAnsi="Theinhardt Regular"/>
          <w:color w:val="231F20"/>
          <w:sz w:val="14"/>
        </w:rPr>
        <w:t> 40, </w:t>
      </w:r>
      <w:r>
        <w:rPr>
          <w:rFonts w:ascii="Theinhardt Regular" w:hAnsi="Theinhardt Regular"/>
          <w:color w:val="231F20"/>
          <w:spacing w:val="-3"/>
          <w:sz w:val="14"/>
        </w:rPr>
        <w:t>5610</w:t>
      </w:r>
      <w:r>
        <w:rPr>
          <w:rFonts w:ascii="Theinhardt Regular" w:hAnsi="Theinhardt Regular"/>
          <w:color w:val="231F20"/>
          <w:sz w:val="14"/>
        </w:rPr>
        <w:t> Wohlen/AG</w:t>
      </w:r>
      <w:r>
        <w:rPr>
          <w:rFonts w:ascii="Theinhardt Regular" w:hAnsi="Theinhardt Regular"/>
          <w:sz w:val="14"/>
        </w:rPr>
      </w:r>
    </w:p>
    <w:p>
      <w:pPr>
        <w:spacing w:line="167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056 </w:t>
      </w:r>
      <w:r>
        <w:rPr>
          <w:rFonts w:ascii="Theinhardt Regular"/>
          <w:color w:val="231F20"/>
          <w:spacing w:val="-4"/>
          <w:sz w:val="14"/>
        </w:rPr>
        <w:t>619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4"/>
          <w:sz w:val="14"/>
        </w:rPr>
        <w:t>19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39</w:t>
      </w:r>
      <w:hyperlink r:id="rId5">
        <w:r>
          <w:rPr>
            <w:rFonts w:ascii="Theinhardt Regular"/>
            <w:color w:val="231F20"/>
            <w:spacing w:val="-1"/>
            <w:sz w:val="14"/>
          </w:rPr>
          <w:t>,</w:t>
        </w:r>
        <w:r>
          <w:rPr>
            <w:rFonts w:ascii="Theinhardt Regular"/>
            <w:color w:val="231F20"/>
            <w:sz w:val="14"/>
          </w:rPr>
          <w:t> </w:t>
        </w:r>
        <w:r>
          <w:rPr>
            <w:rFonts w:ascii="Theinhardt Regular"/>
            <w:color w:val="231F20"/>
            <w:spacing w:val="1"/>
            <w:sz w:val="14"/>
          </w:rPr>
          <w:t>gisi.patrick@ibw.ag</w:t>
        </w:r>
        <w:r>
          <w:rPr>
            <w:rFonts w:ascii="Theinhardt Regular"/>
            <w:sz w:val="14"/>
          </w:rPr>
        </w:r>
      </w:hyperlink>
    </w:p>
    <w:p>
      <w:pPr>
        <w:spacing w:line="160" w:lineRule="exact" w:before="39"/>
        <w:ind w:left="106" w:right="1383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Bauherrschaft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und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Betreiberin</w:t>
      </w:r>
      <w:r>
        <w:rPr>
          <w:rFonts w:ascii="Theinhardt Bold"/>
          <w:b/>
          <w:color w:val="231F20"/>
          <w:spacing w:val="4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IB</w:t>
      </w:r>
      <w:r>
        <w:rPr>
          <w:rFonts w:ascii="Theinhardt Regular"/>
          <w:color w:val="231F20"/>
          <w:sz w:val="14"/>
        </w:rPr>
        <w:t> Wohlen AG, </w:t>
      </w:r>
      <w:r>
        <w:rPr>
          <w:rFonts w:ascii="Theinhardt Regular"/>
          <w:color w:val="231F20"/>
          <w:spacing w:val="1"/>
          <w:sz w:val="14"/>
        </w:rPr>
        <w:t>Patrick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Gisi</w:t>
      </w:r>
      <w:r>
        <w:rPr>
          <w:rFonts w:ascii="Theinhardt Regular"/>
          <w:color w:val="231F20"/>
          <w:spacing w:val="3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Steingasse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4"/>
          <w:sz w:val="14"/>
        </w:rPr>
        <w:t>31,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3"/>
          <w:sz w:val="14"/>
        </w:rPr>
        <w:t>5610</w:t>
      </w:r>
      <w:r>
        <w:rPr>
          <w:rFonts w:ascii="Theinhardt Regular"/>
          <w:color w:val="231F20"/>
          <w:sz w:val="14"/>
        </w:rPr>
        <w:t> Wohlen </w:t>
      </w:r>
      <w:r>
        <w:rPr>
          <w:rFonts w:ascii="Theinhardt Regular"/>
          <w:color w:val="231F20"/>
          <w:spacing w:val="-3"/>
          <w:sz w:val="14"/>
        </w:rPr>
        <w:t>/AG</w:t>
      </w:r>
      <w:r>
        <w:rPr>
          <w:rFonts w:ascii="Theinhardt Regular"/>
          <w:sz w:val="14"/>
        </w:rPr>
      </w:r>
    </w:p>
    <w:p>
      <w:pPr>
        <w:spacing w:line="177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056 </w:t>
      </w:r>
      <w:r>
        <w:rPr>
          <w:rFonts w:ascii="Theinhardt Regular"/>
          <w:color w:val="231F20"/>
          <w:spacing w:val="-4"/>
          <w:sz w:val="14"/>
        </w:rPr>
        <w:t>619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4"/>
          <w:sz w:val="14"/>
        </w:rPr>
        <w:t>19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39</w:t>
      </w:r>
      <w:hyperlink r:id="rId5">
        <w:r>
          <w:rPr>
            <w:rFonts w:ascii="Theinhardt Regular"/>
            <w:color w:val="231F20"/>
            <w:spacing w:val="-1"/>
            <w:sz w:val="14"/>
          </w:rPr>
          <w:t>,</w:t>
        </w:r>
        <w:r>
          <w:rPr>
            <w:rFonts w:ascii="Theinhardt Regular"/>
            <w:color w:val="231F20"/>
            <w:sz w:val="14"/>
          </w:rPr>
          <w:t> </w:t>
        </w:r>
        <w:r>
          <w:rPr>
            <w:rFonts w:ascii="Theinhardt Regular"/>
            <w:color w:val="231F20"/>
            <w:spacing w:val="1"/>
            <w:sz w:val="14"/>
          </w:rPr>
          <w:t>gisi.patrick@ibw.ag</w:t>
        </w:r>
        <w:r>
          <w:rPr>
            <w:rFonts w:ascii="Theinhardt Regular"/>
            <w:sz w:val="14"/>
          </w:rPr>
        </w:r>
      </w:hyperlink>
    </w:p>
    <w:p>
      <w:pPr>
        <w:spacing w:line="172" w:lineRule="exact" w:before="32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2"/>
          <w:sz w:val="14"/>
        </w:rPr>
        <w:t>Architekt</w:t>
      </w:r>
      <w:r>
        <w:rPr>
          <w:rFonts w:ascii="Theinhardt Bold"/>
          <w:sz w:val="14"/>
        </w:rPr>
      </w:r>
    </w:p>
    <w:p>
      <w:pPr>
        <w:spacing w:line="207" w:lineRule="auto" w:before="5"/>
        <w:ind w:left="106" w:right="82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1"/>
          <w:sz w:val="14"/>
        </w:rPr>
        <w:t>phalt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Architekten</w:t>
      </w:r>
      <w:r>
        <w:rPr>
          <w:rFonts w:ascii="Theinhardt Regular" w:hAnsi="Theinhardt Regular"/>
          <w:color w:val="231F20"/>
          <w:sz w:val="14"/>
        </w:rPr>
        <w:t> AG, </w:t>
      </w:r>
      <w:r>
        <w:rPr>
          <w:rFonts w:ascii="Theinhardt Regular" w:hAnsi="Theinhardt Regular"/>
          <w:color w:val="231F20"/>
          <w:spacing w:val="1"/>
          <w:sz w:val="14"/>
        </w:rPr>
        <w:t>Frank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Scheinder/Matthias</w:t>
      </w:r>
      <w:r>
        <w:rPr>
          <w:rFonts w:ascii="Theinhardt Regular" w:hAnsi="Theinhardt Regular"/>
          <w:color w:val="231F20"/>
          <w:spacing w:val="28"/>
          <w:sz w:val="14"/>
        </w:rPr>
        <w:t> </w:t>
      </w:r>
      <w:r>
        <w:rPr>
          <w:rFonts w:ascii="Theinhardt Regular" w:hAnsi="Theinhardt Regular"/>
          <w:color w:val="231F20"/>
          <w:sz w:val="14"/>
        </w:rPr>
        <w:t>Bucher, </w:t>
      </w:r>
      <w:r>
        <w:rPr>
          <w:rFonts w:ascii="Theinhardt Regular" w:hAnsi="Theinhardt Regular"/>
          <w:color w:val="231F20"/>
          <w:spacing w:val="2"/>
          <w:sz w:val="14"/>
        </w:rPr>
        <w:t>Binzstrasse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1"/>
          <w:sz w:val="14"/>
        </w:rPr>
        <w:t>39,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8045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Zürich</w:t>
      </w:r>
      <w:r>
        <w:rPr>
          <w:rFonts w:ascii="Theinhardt Regular" w:hAnsi="Theinhardt Regular"/>
          <w:sz w:val="14"/>
        </w:rPr>
      </w:r>
    </w:p>
    <w:p>
      <w:pPr>
        <w:spacing w:line="167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044</w:t>
      </w:r>
      <w:r>
        <w:rPr>
          <w:rFonts w:ascii="Theinhardt Regular"/>
          <w:color w:val="231F20"/>
          <w:sz w:val="14"/>
        </w:rPr>
        <w:t> 455 77 98</w:t>
      </w:r>
      <w:hyperlink r:id="rId6">
        <w:r>
          <w:rPr>
            <w:rFonts w:ascii="Theinhardt Regular"/>
            <w:color w:val="231F20"/>
            <w:sz w:val="14"/>
          </w:rPr>
          <w:t>, </w:t>
        </w:r>
        <w:r>
          <w:rPr>
            <w:rFonts w:ascii="Theinhardt Regular"/>
            <w:color w:val="231F20"/>
            <w:spacing w:val="2"/>
            <w:sz w:val="14"/>
          </w:rPr>
          <w:t>matthias.bucher@phalt.ch</w:t>
        </w:r>
        <w:r>
          <w:rPr>
            <w:rFonts w:ascii="Theinhardt Regular"/>
            <w:sz w:val="14"/>
          </w:rPr>
        </w:r>
      </w:hyperlink>
    </w:p>
    <w:p>
      <w:pPr>
        <w:spacing w:line="172" w:lineRule="exact" w:before="32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spacing w:val="1"/>
          <w:sz w:val="14"/>
        </w:rPr>
        <w:t>PV-Planung</w:t>
      </w:r>
      <w:r>
        <w:rPr>
          <w:rFonts w:ascii="Theinhardt Bold"/>
          <w:sz w:val="14"/>
        </w:rPr>
      </w:r>
    </w:p>
    <w:p>
      <w:pPr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spacing w:val="2"/>
          <w:sz w:val="14"/>
        </w:rPr>
        <w:t>BE</w:t>
      </w:r>
      <w:r>
        <w:rPr>
          <w:rFonts w:ascii="Theinhardt Regular"/>
          <w:sz w:val="14"/>
        </w:rPr>
        <w:t> </w:t>
      </w:r>
      <w:r>
        <w:rPr>
          <w:rFonts w:ascii="Theinhardt Regular"/>
          <w:spacing w:val="2"/>
          <w:sz w:val="14"/>
        </w:rPr>
        <w:t>Netz</w:t>
      </w:r>
      <w:r>
        <w:rPr>
          <w:rFonts w:ascii="Theinhardt Regular"/>
          <w:sz w:val="14"/>
        </w:rPr>
        <w:t> AG</w:t>
      </w:r>
    </w:p>
    <w:p>
      <w:pPr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spacing w:val="2"/>
          <w:sz w:val="14"/>
        </w:rPr>
        <w:t>Luzernerstrasse</w:t>
      </w:r>
      <w:r>
        <w:rPr>
          <w:rFonts w:ascii="Theinhardt Regular"/>
          <w:sz w:val="14"/>
        </w:rPr>
        <w:t> </w:t>
      </w:r>
      <w:r>
        <w:rPr>
          <w:rFonts w:ascii="Theinhardt Regular"/>
          <w:spacing w:val="-5"/>
          <w:sz w:val="14"/>
        </w:rPr>
        <w:t>131,</w:t>
      </w:r>
      <w:r>
        <w:rPr>
          <w:rFonts w:ascii="Theinhardt Regular"/>
          <w:sz w:val="14"/>
        </w:rPr>
        <w:t> </w:t>
      </w:r>
      <w:r>
        <w:rPr>
          <w:rFonts w:ascii="Theinhardt Regular"/>
          <w:spacing w:val="-2"/>
          <w:sz w:val="14"/>
        </w:rPr>
        <w:t>6014</w:t>
      </w:r>
      <w:r>
        <w:rPr>
          <w:rFonts w:ascii="Theinhardt Regular"/>
          <w:sz w:val="14"/>
        </w:rPr>
        <w:t> </w:t>
      </w:r>
      <w:r>
        <w:rPr>
          <w:rFonts w:ascii="Theinhardt Regular"/>
          <w:spacing w:val="1"/>
          <w:sz w:val="14"/>
        </w:rPr>
        <w:t>Luzern</w:t>
      </w:r>
    </w:p>
    <w:p>
      <w:pPr>
        <w:spacing w:line="172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spacing w:val="-2"/>
          <w:sz w:val="14"/>
        </w:rPr>
        <w:t>Tel.</w:t>
      </w:r>
      <w:r>
        <w:rPr>
          <w:rFonts w:ascii="Theinhardt Regular"/>
          <w:sz w:val="14"/>
        </w:rPr>
        <w:t> </w:t>
      </w:r>
      <w:r>
        <w:rPr>
          <w:rFonts w:ascii="Theinhardt Regular"/>
          <w:spacing w:val="-4"/>
          <w:sz w:val="14"/>
        </w:rPr>
        <w:t>+41</w:t>
      </w:r>
      <w:r>
        <w:rPr>
          <w:rFonts w:ascii="Theinhardt Regular"/>
          <w:sz w:val="14"/>
        </w:rPr>
        <w:t> </w:t>
      </w:r>
      <w:r>
        <w:rPr>
          <w:rFonts w:ascii="Theinhardt Regular"/>
          <w:spacing w:val="-5"/>
          <w:sz w:val="14"/>
        </w:rPr>
        <w:t>41</w:t>
      </w:r>
      <w:r>
        <w:rPr>
          <w:rFonts w:ascii="Theinhardt Regular"/>
          <w:sz w:val="14"/>
        </w:rPr>
        <w:t> </w:t>
      </w:r>
      <w:r>
        <w:rPr>
          <w:rFonts w:ascii="Theinhardt Regular"/>
          <w:spacing w:val="-4"/>
          <w:sz w:val="14"/>
        </w:rPr>
        <w:t>319</w:t>
      </w:r>
      <w:r>
        <w:rPr>
          <w:rFonts w:ascii="Theinhardt Regular"/>
          <w:sz w:val="14"/>
        </w:rPr>
        <w:t> </w:t>
      </w:r>
      <w:r>
        <w:rPr>
          <w:rFonts w:ascii="Theinhardt Regular"/>
          <w:spacing w:val="2"/>
          <w:sz w:val="14"/>
        </w:rPr>
        <w:t>00</w:t>
      </w:r>
      <w:r>
        <w:rPr>
          <w:rFonts w:ascii="Theinhardt Regular"/>
          <w:sz w:val="14"/>
        </w:rPr>
        <w:t> </w:t>
      </w:r>
      <w:r>
        <w:rPr>
          <w:rFonts w:ascii="Theinhardt Regular"/>
          <w:spacing w:val="1"/>
          <w:sz w:val="14"/>
        </w:rPr>
        <w:t>00</w:t>
      </w:r>
      <w:hyperlink r:id="rId7">
        <w:r>
          <w:rPr>
            <w:rFonts w:ascii="Theinhardt Regular"/>
            <w:spacing w:val="1"/>
            <w:sz w:val="14"/>
          </w:rPr>
          <w:t>,</w:t>
        </w:r>
        <w:r>
          <w:rPr>
            <w:rFonts w:ascii="Theinhardt Regular"/>
            <w:sz w:val="14"/>
          </w:rPr>
          <w:t>  </w:t>
        </w:r>
        <w:r>
          <w:rPr>
            <w:rFonts w:ascii="Theinhardt Regular"/>
            <w:spacing w:val="1"/>
            <w:sz w:val="14"/>
          </w:rPr>
          <w:t>alex.binder@benetz.ch</w:t>
        </w:r>
      </w:hyperlink>
    </w:p>
    <w:p>
      <w:pPr>
        <w:spacing w:line="172" w:lineRule="exact" w:before="32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Installation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2"/>
          <w:sz w:val="14"/>
        </w:rPr>
        <w:t>PV-Anlage</w:t>
      </w:r>
      <w:r>
        <w:rPr>
          <w:rFonts w:ascii="Theinhardt Bold"/>
          <w:sz w:val="14"/>
        </w:rPr>
      </w:r>
    </w:p>
    <w:p>
      <w:pPr>
        <w:spacing w:line="207" w:lineRule="auto" w:before="5"/>
        <w:ind w:left="106" w:right="968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1"/>
          <w:sz w:val="14"/>
        </w:rPr>
        <w:t>Planeco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Solar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GmbH,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Roman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Brunner</w:t>
      </w:r>
      <w:r>
        <w:rPr>
          <w:rFonts w:ascii="Theinhardt Regular" w:hAnsi="Theinhardt Regular"/>
          <w:color w:val="231F20"/>
          <w:spacing w:val="38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Tramstrasse</w:t>
      </w:r>
      <w:r>
        <w:rPr>
          <w:rFonts w:ascii="Theinhardt Regular" w:hAnsi="Theinhardt Regular"/>
          <w:color w:val="231F20"/>
          <w:sz w:val="14"/>
        </w:rPr>
        <w:t> 66, </w:t>
      </w:r>
      <w:r>
        <w:rPr>
          <w:rFonts w:ascii="Theinhardt Regular" w:hAnsi="Theinhardt Regular"/>
          <w:color w:val="231F20"/>
          <w:spacing w:val="-5"/>
          <w:sz w:val="14"/>
        </w:rPr>
        <w:t>4142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Münchenstein</w:t>
      </w:r>
      <w:r>
        <w:rPr>
          <w:rFonts w:ascii="Theinhardt Regular" w:hAnsi="Theinhardt Regular"/>
          <w:sz w:val="14"/>
        </w:rPr>
      </w:r>
    </w:p>
    <w:p>
      <w:pPr>
        <w:spacing w:line="167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/>
        <w:pict>
          <v:group style="position:absolute;margin-left:385.511902pt;margin-top:10.130289pt;width:167.25pt;height:.45pt;mso-position-horizontal-relative:page;mso-position-vertical-relative:paragraph;z-index:1168" coordorigin="7710,203" coordsize="3345,9">
            <v:group style="position:absolute;left:7732;top:207;width:3311;height:2" coordorigin="7732,207" coordsize="3311,2">
              <v:shape style="position:absolute;left:7732;top:207;width:3311;height:2" coordorigin="7732,207" coordsize="3311,0" path="m7732,207l11042,207e" filled="false" stroked="true" strokeweight=".425pt" strokecolor="#231f20">
                <v:path arrowok="t"/>
                <v:stroke dashstyle="dash"/>
              </v:shape>
            </v:group>
            <v:group style="position:absolute;left:7714;top:207;width:2;height:2" coordorigin="7714,207" coordsize="2,2">
              <v:shape style="position:absolute;left:7714;top:207;width:2;height:2" coordorigin="7714,207" coordsize="0,0" path="m7714,207l7714,207e" filled="false" stroked="true" strokeweight=".425pt" strokecolor="#231f20">
                <v:path arrowok="t"/>
              </v:shape>
            </v:group>
            <v:group style="position:absolute;left:11051;top:207;width:2;height:2" coordorigin="11051,207" coordsize="2,2">
              <v:shape style="position:absolute;left:11051;top:207;width:2;height:2" coordorigin="11051,207" coordsize="0,0" path="m11051,207l11051,207e" filled="false" stroked="true" strokeweight=".425pt" strokecolor="#231f20">
                <v:path arrowok="t"/>
              </v:shape>
            </v:group>
            <w10:wrap type="none"/>
          </v:group>
        </w:pict>
      </w: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4"/>
          <w:sz w:val="14"/>
        </w:rPr>
        <w:t>+41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61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8"/>
          <w:sz w:val="14"/>
        </w:rPr>
        <w:t>411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25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2</w:t>
      </w:r>
      <w:hyperlink r:id="rId8">
        <w:r>
          <w:rPr>
            <w:rFonts w:ascii="Theinhardt Regular"/>
            <w:color w:val="231F20"/>
            <w:spacing w:val="-1"/>
            <w:sz w:val="14"/>
          </w:rPr>
          <w:t>3,</w:t>
        </w:r>
        <w:r>
          <w:rPr>
            <w:rFonts w:ascii="Theinhardt Regular"/>
            <w:color w:val="231F20"/>
            <w:sz w:val="14"/>
          </w:rPr>
          <w:t>  </w:t>
        </w:r>
        <w:r>
          <w:rPr>
            <w:rFonts w:ascii="Theinhardt Regular"/>
            <w:color w:val="231F20"/>
            <w:spacing w:val="1"/>
            <w:sz w:val="14"/>
          </w:rPr>
          <w:t>info@planeco.ch</w:t>
        </w:r>
        <w:r>
          <w:rPr>
            <w:rFonts w:ascii="Theinhardt Regular"/>
            <w:sz w:val="14"/>
          </w:rPr>
        </w:r>
      </w:hyperlink>
    </w:p>
    <w:p>
      <w:pPr>
        <w:spacing w:after="0" w:line="167" w:lineRule="exact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1910" w:h="16840"/>
          <w:pgMar w:top="840" w:bottom="280" w:left="460" w:right="740"/>
          <w:cols w:num="3" w:equalWidth="0">
            <w:col w:w="3453" w:space="119"/>
            <w:col w:w="3460" w:space="112"/>
            <w:col w:w="3566"/>
          </w:cols>
        </w:sect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7"/>
        <w:rPr>
          <w:rFonts w:ascii="Theinhardt Regular" w:hAnsi="Theinhardt Regular" w:cs="Theinhardt Regular" w:eastAsia="Theinhardt Regular"/>
          <w:sz w:val="23"/>
          <w:szCs w:val="23"/>
        </w:rPr>
      </w:pPr>
    </w:p>
    <w:p>
      <w:pPr>
        <w:spacing w:before="7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Heavy"/>
          <w:b/>
          <w:color w:val="231F20"/>
          <w:sz w:val="14"/>
        </w:rPr>
        <w:t>88    </w:t>
      </w:r>
      <w:r>
        <w:rPr>
          <w:rFonts w:ascii="Theinhardt Heavy"/>
          <w:b/>
          <w:color w:val="231F20"/>
          <w:spacing w:val="7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> 2019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> 2019</w:t>
      </w:r>
      <w:r>
        <w:rPr>
          <w:rFonts w:ascii="Theinhardt Regular"/>
          <w:sz w:val="14"/>
        </w:rPr>
      </w:r>
    </w:p>
    <w:p>
      <w:pPr>
        <w:spacing w:after="0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1910" w:h="16840"/>
          <w:pgMar w:top="840" w:bottom="280" w:left="460" w:right="740"/>
        </w:sectPr>
      </w:pPr>
    </w:p>
    <w:p>
      <w:pPr>
        <w:spacing w:line="240" w:lineRule="auto" w:before="8"/>
        <w:rPr>
          <w:rFonts w:ascii="Theinhardt Regular" w:hAnsi="Theinhardt Regular" w:cs="Theinhardt Regular" w:eastAsia="Theinhardt Regular"/>
          <w:sz w:val="5"/>
          <w:szCs w:val="5"/>
        </w:rPr>
      </w:pPr>
    </w:p>
    <w:p>
      <w:pPr>
        <w:spacing w:line="200" w:lineRule="atLeast"/>
        <w:ind w:left="124" w:right="0" w:firstLine="0"/>
        <w:rPr>
          <w:rFonts w:ascii="Theinhardt Regular" w:hAnsi="Theinhardt Regular" w:cs="Theinhardt Regular" w:eastAsia="Theinhardt Regular"/>
          <w:sz w:val="20"/>
          <w:szCs w:val="20"/>
        </w:rPr>
      </w:pPr>
      <w:r>
        <w:rPr>
          <w:rFonts w:ascii="Theinhardt Regular" w:hAnsi="Theinhardt Regular" w:cs="Theinhardt Regular" w:eastAsia="Theinhardt Regular"/>
          <w:sz w:val="20"/>
          <w:szCs w:val="20"/>
        </w:rPr>
        <w:drawing>
          <wp:inline distT="0" distB="0" distL="0" distR="0">
            <wp:extent cx="6664142" cy="5059680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4142" cy="505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Regular" w:hAnsi="Theinhardt Regular" w:cs="Theinhardt Regular" w:eastAsia="Theinhardt Regular"/>
          <w:sz w:val="20"/>
          <w:szCs w:val="20"/>
        </w:rPr>
      </w:r>
    </w:p>
    <w:p>
      <w:pPr>
        <w:spacing w:before="25"/>
        <w:ind w:left="11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1</w:t>
      </w:r>
      <w:r>
        <w:rPr>
          <w:rFonts w:ascii="Theinhardt Bold"/>
          <w:sz w:val="14"/>
        </w:rPr>
      </w: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3"/>
          <w:szCs w:val="3"/>
        </w:rPr>
      </w:pPr>
    </w:p>
    <w:p>
      <w:pPr>
        <w:tabs>
          <w:tab w:pos="5489" w:val="left" w:leader="none"/>
        </w:tabs>
        <w:spacing w:line="200" w:lineRule="atLeast"/>
        <w:ind w:left="124" w:right="0" w:firstLine="0"/>
        <w:rPr>
          <w:rFonts w:ascii="Theinhardt Bold" w:hAnsi="Theinhardt Bold" w:cs="Theinhardt Bold" w:eastAsia="Theinhardt Bold"/>
          <w:sz w:val="20"/>
          <w:szCs w:val="20"/>
        </w:rPr>
      </w:pPr>
      <w:r>
        <w:rPr>
          <w:rFonts w:ascii="Theinhardt Bold"/>
          <w:position w:val="1"/>
          <w:sz w:val="20"/>
        </w:rPr>
        <w:drawing>
          <wp:inline distT="0" distB="0" distL="0" distR="0">
            <wp:extent cx="3255764" cy="1975104"/>
            <wp:effectExtent l="0" t="0" r="0" b="0"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5764" cy="1975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Bold"/>
          <w:position w:val="1"/>
          <w:sz w:val="20"/>
        </w:rPr>
      </w:r>
      <w:r>
        <w:rPr>
          <w:rFonts w:ascii="Theinhardt Bold"/>
          <w:position w:val="1"/>
          <w:sz w:val="20"/>
        </w:rPr>
        <w:tab/>
      </w:r>
      <w:r>
        <w:rPr>
          <w:rFonts w:ascii="Theinhardt Bold"/>
          <w:sz w:val="20"/>
        </w:rPr>
        <w:drawing>
          <wp:inline distT="0" distB="0" distL="0" distR="0">
            <wp:extent cx="3255426" cy="1975104"/>
            <wp:effectExtent l="0" t="0" r="0" b="0"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5426" cy="1975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Bold"/>
          <w:sz w:val="20"/>
        </w:rPr>
      </w:r>
    </w:p>
    <w:p>
      <w:pPr>
        <w:tabs>
          <w:tab w:pos="5480" w:val="left" w:leader="none"/>
        </w:tabs>
        <w:spacing w:before="17"/>
        <w:ind w:left="122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2</w:t>
        <w:tab/>
        <w:t>3</w:t>
      </w:r>
      <w:r>
        <w:rPr>
          <w:rFonts w:ascii="Theinhardt Bold"/>
          <w:sz w:val="14"/>
        </w:rPr>
      </w: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4"/>
        <w:rPr>
          <w:rFonts w:ascii="Theinhardt Bold" w:hAnsi="Theinhardt Bold" w:cs="Theinhardt Bold" w:eastAsia="Theinhardt Bold"/>
          <w:b/>
          <w:bCs/>
          <w:sz w:val="18"/>
          <w:szCs w:val="18"/>
        </w:rPr>
      </w:pPr>
    </w:p>
    <w:p>
      <w:pPr>
        <w:spacing w:after="0" w:line="240" w:lineRule="auto"/>
        <w:rPr>
          <w:rFonts w:ascii="Theinhardt Bold" w:hAnsi="Theinhardt Bold" w:cs="Theinhardt Bold" w:eastAsia="Theinhardt Bold"/>
          <w:sz w:val="18"/>
          <w:szCs w:val="18"/>
        </w:rPr>
        <w:sectPr>
          <w:pgSz w:w="11910" w:h="16840"/>
          <w:pgMar w:top="860" w:bottom="280" w:left="740" w:right="440"/>
        </w:sectPr>
      </w:pPr>
    </w:p>
    <w:p>
      <w:pPr>
        <w:numPr>
          <w:ilvl w:val="0"/>
          <w:numId w:val="1"/>
        </w:numPr>
        <w:tabs>
          <w:tab w:pos="352" w:val="left" w:leader="none"/>
        </w:tabs>
        <w:spacing w:line="160" w:lineRule="exact" w:before="79"/>
        <w:ind w:left="351" w:right="0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4"/>
          <w:szCs w:val="14"/>
        </w:rPr>
        <w:t>Von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 der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Dachfläche mit 3’525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m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position w:val="5"/>
          <w:sz w:val="8"/>
          <w:szCs w:val="8"/>
        </w:rPr>
        <w:t>2</w:t>
      </w:r>
      <w:r>
        <w:rPr>
          <w:rFonts w:ascii="Theinhardt Bold" w:hAnsi="Theinhardt Bold" w:cs="Theinhardt Bold" w:eastAsia="Theinhardt Bold"/>
          <w:b/>
          <w:bCs/>
          <w:color w:val="231F20"/>
          <w:spacing w:val="15"/>
          <w:position w:val="5"/>
          <w:sz w:val="8"/>
          <w:szCs w:val="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produzieren</w:t>
      </w:r>
      <w:r>
        <w:rPr>
          <w:rFonts w:ascii="Theinhardt Bold" w:hAnsi="Theinhardt Bold" w:cs="Theinhardt Bold" w:eastAsia="Theinhardt Bold"/>
          <w:b/>
          <w:bCs/>
          <w:color w:val="231F20"/>
          <w:spacing w:val="3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rund 2’250 m</w:t>
      </w:r>
      <w:r>
        <w:rPr>
          <w:rFonts w:ascii="Theinhardt Bold" w:hAnsi="Theinhardt Bold" w:cs="Theinhardt Bold" w:eastAsia="Theinhardt Bold"/>
          <w:b/>
          <w:bCs/>
          <w:color w:val="231F20"/>
          <w:position w:val="5"/>
          <w:sz w:val="8"/>
          <w:szCs w:val="8"/>
        </w:rPr>
        <w:t>2</w:t>
      </w:r>
      <w:r>
        <w:rPr>
          <w:rFonts w:ascii="Theinhardt Bold" w:hAnsi="Theinhardt Bold" w:cs="Theinhardt Bold" w:eastAsia="Theinhardt Bold"/>
          <w:b/>
          <w:bCs/>
          <w:color w:val="231F20"/>
          <w:spacing w:val="15"/>
          <w:position w:val="5"/>
          <w:sz w:val="8"/>
          <w:szCs w:val="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monokristalline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Solarmodule</w:t>
      </w:r>
      <w:r>
        <w:rPr>
          <w:rFonts w:ascii="Theinhardt Bold" w:hAnsi="Theinhardt Bold" w:cs="Theinhardt Bold" w:eastAsia="Theinhardt Bold"/>
          <w:b/>
          <w:bCs/>
          <w:color w:val="231F20"/>
          <w:spacing w:val="32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rund 379’400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4"/>
          <w:szCs w:val="14"/>
        </w:rPr>
        <w:t>kWh/a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Solarstrom.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numPr>
          <w:ilvl w:val="0"/>
          <w:numId w:val="1"/>
        </w:numPr>
        <w:tabs>
          <w:tab w:pos="352" w:val="left" w:leader="none"/>
        </w:tabs>
        <w:spacing w:line="160" w:lineRule="exact" w:before="79"/>
        <w:ind w:left="351" w:right="0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br w:type="column"/>
        <w:t>Rund 67% des Gesamtenergiebedarfs von</w:t>
      </w:r>
      <w:r>
        <w:rPr>
          <w:rFonts w:ascii="Theinhardt Bold" w:hAnsi="Theinhardt Bold" w:cs="Theinhardt Bold" w:eastAsia="Theinhardt Bold"/>
          <w:b/>
          <w:bCs/>
          <w:color w:val="231F20"/>
          <w:spacing w:val="23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570’400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4"/>
          <w:szCs w:val="14"/>
        </w:rPr>
        <w:t>kWh/a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werden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für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Kälteerzeugung</w:t>
      </w:r>
      <w:r>
        <w:rPr>
          <w:rFonts w:ascii="Theinhardt Bold" w:hAnsi="Theinhardt Bold" w:cs="Theinhardt Bold" w:eastAsia="Theinhardt Bold"/>
          <w:b/>
          <w:bCs/>
          <w:color w:val="231F20"/>
          <w:spacing w:val="23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Eishalle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sowie Energiebedarfs des Schüwo</w:t>
      </w:r>
      <w:r>
        <w:rPr>
          <w:rFonts w:ascii="Theinhardt Bold" w:hAnsi="Theinhardt Bold" w:cs="Theinhardt Bold" w:eastAsia="Theinhardt Bold"/>
          <w:b/>
          <w:bCs/>
          <w:color w:val="231F20"/>
          <w:spacing w:val="26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Parks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genutzt.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numPr>
          <w:ilvl w:val="0"/>
          <w:numId w:val="1"/>
        </w:numPr>
        <w:tabs>
          <w:tab w:pos="352" w:val="left" w:leader="none"/>
        </w:tabs>
        <w:spacing w:line="160" w:lineRule="exact" w:before="79"/>
        <w:ind w:left="351" w:right="501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br w:type="column"/>
        <w:t>Rund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1’275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m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position w:val="5"/>
          <w:sz w:val="8"/>
          <w:szCs w:val="8"/>
        </w:rPr>
        <w:t>2</w:t>
      </w:r>
      <w:r>
        <w:rPr>
          <w:rFonts w:ascii="Theinhardt Bold" w:hAnsi="Theinhardt Bold" w:cs="Theinhardt Bold" w:eastAsia="Theinhardt Bold"/>
          <w:b/>
          <w:bCs/>
          <w:color w:val="231F20"/>
          <w:position w:val="5"/>
          <w:sz w:val="8"/>
          <w:szCs w:val="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oder 36.2%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Dachfläche</w:t>
      </w:r>
      <w:r>
        <w:rPr>
          <w:rFonts w:ascii="Theinhardt Bold" w:hAnsi="Theinhardt Bold" w:cs="Theinhardt Bold" w:eastAsia="Theinhardt Bold"/>
          <w:b/>
          <w:bCs/>
          <w:color w:val="231F20"/>
          <w:spacing w:val="24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dienen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Tageslichtnutzung.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after="0" w:line="160" w:lineRule="exact"/>
        <w:jc w:val="left"/>
        <w:rPr>
          <w:rFonts w:ascii="Theinhardt Bold" w:hAnsi="Theinhardt Bold" w:cs="Theinhardt Bold" w:eastAsia="Theinhardt Bold"/>
          <w:sz w:val="14"/>
          <w:szCs w:val="14"/>
        </w:rPr>
        <w:sectPr>
          <w:type w:val="continuous"/>
          <w:pgSz w:w="11910" w:h="16840"/>
          <w:pgMar w:top="840" w:bottom="280" w:left="740" w:right="440"/>
          <w:cols w:num="3" w:equalWidth="0">
            <w:col w:w="3256" w:space="316"/>
            <w:col w:w="3362" w:space="210"/>
            <w:col w:w="3586"/>
          </w:cols>
        </w:sectPr>
      </w:pPr>
    </w:p>
    <w:p>
      <w:pPr>
        <w:spacing w:line="240" w:lineRule="auto" w:before="4"/>
        <w:rPr>
          <w:rFonts w:ascii="Theinhardt Bold" w:hAnsi="Theinhardt Bold" w:cs="Theinhardt Bold" w:eastAsia="Theinhardt Bold"/>
          <w:b/>
          <w:bCs/>
          <w:sz w:val="22"/>
          <w:szCs w:val="22"/>
        </w:rPr>
      </w:pPr>
    </w:p>
    <w:p>
      <w:pPr>
        <w:spacing w:before="70"/>
        <w:ind w:left="6666" w:right="0" w:firstLine="0"/>
        <w:jc w:val="left"/>
        <w:rPr>
          <w:rFonts w:ascii="Theinhardt Heavy" w:hAnsi="Theinhardt Heavy" w:cs="Theinhardt Heavy" w:eastAsia="Theinhardt Heavy"/>
          <w:sz w:val="14"/>
          <w:szCs w:val="14"/>
        </w:rPr>
      </w:pP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> 2019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> 2019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Heavy"/>
          <w:b/>
          <w:color w:val="231F20"/>
          <w:sz w:val="14"/>
        </w:rPr>
        <w:t>89</w:t>
      </w:r>
      <w:r>
        <w:rPr>
          <w:rFonts w:ascii="Theinhardt Heavy"/>
          <w:sz w:val="14"/>
        </w:rPr>
      </w:r>
    </w:p>
    <w:sectPr>
      <w:type w:val="continuous"/>
      <w:pgSz w:w="11910" w:h="16840"/>
      <w:pgMar w:top="840" w:bottom="280" w:left="74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heinhardt Regular">
    <w:altName w:val="Theinhardt Regular"/>
    <w:charset w:val="0"/>
    <w:family w:val="swiss"/>
    <w:pitch w:val="variable"/>
  </w:font>
  <w:font w:name="Theinhardt Heavy">
    <w:altName w:val="Theinhardt Heavy"/>
    <w:charset w:val="0"/>
    <w:family w:val="swiss"/>
    <w:pitch w:val="variable"/>
  </w:font>
  <w:font w:name="Theinhardt Light">
    <w:altName w:val="Theinhardt Light"/>
    <w:charset w:val="0"/>
    <w:family w:val="swiss"/>
    <w:pitch w:val="variable"/>
  </w:font>
  <w:font w:name="Theinhardt Bold">
    <w:altName w:val="Theinhardt Bold"/>
    <w:charset w:val="0"/>
    <w:family w:val="swiss"/>
    <w:pitch w:val="variable"/>
  </w:font>
  <w:font w:name="Theinhardt Regular Italic">
    <w:altName w:val="Theinhardt Regular Italic"/>
    <w:charset w:val="0"/>
    <w:family w:val="swiss"/>
    <w:pitch w:val="variable"/>
  </w:font>
  <w:font w:name="Theinhardt Black">
    <w:altName w:val="Theinhardt Black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"/>
      <w:lvlJc w:val="left"/>
      <w:pPr>
        <w:ind w:left="351" w:hanging="227"/>
        <w:jc w:val="left"/>
      </w:pPr>
      <w:rPr>
        <w:rFonts w:hint="default" w:ascii="Theinhardt Bold" w:hAnsi="Theinhardt Bold" w:eastAsia="Theinhardt Bold"/>
        <w:b/>
        <w:bCs/>
        <w:color w:val="231F20"/>
        <w:sz w:val="14"/>
        <w:szCs w:val="14"/>
      </w:rPr>
    </w:lvl>
    <w:lvl w:ilvl="1">
      <w:start w:val="1"/>
      <w:numFmt w:val="bullet"/>
      <w:lvlText w:val="•"/>
      <w:lvlJc w:val="left"/>
      <w:pPr>
        <w:ind w:left="641" w:hanging="2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32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222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512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803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093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383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674" w:hanging="22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06" w:firstLine="226"/>
    </w:pPr>
    <w:rPr>
      <w:rFonts w:ascii="Theinhardt Regular" w:hAnsi="Theinhardt Regular" w:eastAsia="Theinhardt Regular"/>
      <w:sz w:val="18"/>
      <w:szCs w:val="1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gisi.patrick@ibw.ag" TargetMode="External"/><Relationship Id="rId6" Type="http://schemas.openxmlformats.org/officeDocument/2006/relationships/hyperlink" Target="mailto:matthias.bucher@phalt.ch" TargetMode="External"/><Relationship Id="rId7" Type="http://schemas.openxmlformats.org/officeDocument/2006/relationships/hyperlink" Target="mailto:alex.binder@benetz.ch" TargetMode="External"/><Relationship Id="rId8" Type="http://schemas.openxmlformats.org/officeDocument/2006/relationships/hyperlink" Target="mailto:info@planeco.ch" TargetMode="External"/><Relationship Id="rId9" Type="http://schemas.openxmlformats.org/officeDocument/2006/relationships/image" Target="media/image1.jpeg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2019-10-04T10:19:39Z</dcterms:created>
  <dcterms:modified xsi:type="dcterms:W3CDTF">2019-10-04T10:19:39Z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2019-10-03T00:00:00Z</vt:filetime>
  </property>
  <property fmtid="{D5CDD505-2E9C-101B-9397-08002B2CF9AE}" pid="3" name="LastSaved">
    <vt:filetime>2019-10-04T00:00:00Z</vt:filetime>
  </property>
</Properties>
</file>