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D1E02" w14:textId="77777777" w:rsidR="00DC74C9" w:rsidRDefault="0063034C">
      <w:pPr>
        <w:tabs>
          <w:tab w:val="left" w:pos="2549"/>
        </w:tabs>
        <w:spacing w:before="28" w:line="230" w:lineRule="exact"/>
        <w:ind w:left="110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11AD8414">
          <v:group id="_x0000_s1055" style="position:absolute;left:0;text-align:left;margin-left:42.75pt;margin-top:13.65pt;width:.1pt;height:.1pt;z-index:-5488;mso-position-horizontal-relative:page" coordorigin="855,273" coordsize="2,2">
            <v:shape id="_x0000_s1056" style="position:absolute;left:855;top:273;width:2;height:2" coordorigin="855,273" coordsize="0,0" path="m855,273r,e" filled="f" strokecolor="#231f20" strokeweight=".14994mm">
              <v:path arrowok="t"/>
            </v:shape>
            <w10:wrap anchorx="page"/>
          </v:group>
        </w:pict>
      </w:r>
      <w:r>
        <w:pict w14:anchorId="48B0A89D">
          <v:group id="_x0000_s1053" style="position:absolute;left:0;text-align:left;margin-left:164.9pt;margin-top:13.65pt;width:.1pt;height:.1pt;z-index:1120;mso-position-horizontal-relative:page" coordorigin="3298,273" coordsize="2,2">
            <v:shape id="_x0000_s1054" style="position:absolute;left:3298;top:273;width:2;height:2" coordorigin="3298,273" coordsize="0,0" path="m3298,273r,e" filled="f" strokecolor="#231f20" strokeweight=".14994mm">
              <v:path arrowok="t"/>
            </v:shape>
            <w10:wrap anchorx="page"/>
          </v:group>
        </w:pict>
      </w:r>
      <w:r>
        <w:pict w14:anchorId="3C417576">
          <v:group id="_x0000_s1051" style="position:absolute;left:0;text-align:left;margin-left:42.75pt;margin-top:25.15pt;width:.1pt;height:.1pt;z-index:-5440;mso-position-horizontal-relative:page" coordorigin="855,503" coordsize="2,2">
            <v:shape id="_x0000_s1052" style="position:absolute;left:855;top:503;width:2;height:2" coordorigin="855,503" coordsize="0,0" path="m855,503r,e" filled="f" strokecolor="#231f20" strokeweight=".14994mm">
              <v:path arrowok="t"/>
            </v:shape>
            <w10:wrap anchorx="page"/>
          </v:group>
        </w:pict>
      </w:r>
      <w:r>
        <w:pict w14:anchorId="36441552">
          <v:group id="_x0000_s1049" style="position:absolute;left:0;text-align:left;margin-left:164.9pt;margin-top:25.15pt;width:.1pt;height:.1pt;z-index:1168;mso-position-horizontal-relative:page" coordorigin="3298,503" coordsize="2,2">
            <v:shape id="_x0000_s1050" style="position:absolute;left:3298;top:503;width:2;height:2" coordorigin="3298,503" coordsize="0,0" path="m3298,503r,e" filled="f" strokecolor="#231f20" strokeweight=".14994mm">
              <v:path arrowok="t"/>
            </v:shape>
            <w10:wrap anchorx="page"/>
          </v:group>
        </w:pict>
      </w:r>
      <w:r>
        <w:pict w14:anchorId="6CF2C2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42.5pt;margin-top:53pt;width:82.2pt;height:60.2pt;z-index:1192;mso-position-horizontal-relative:page">
            <v:imagedata r:id="rId5" o:title=""/>
            <w10:wrap anchorx="page"/>
          </v:shape>
        </w:pic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B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5"/>
          <w:sz w:val="18"/>
        </w:rPr>
        <w:t xml:space="preserve"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-Diplom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2020</w:t>
      </w:r>
    </w:p>
    <w:p w14:paraId="0EA52A17" w14:textId="77777777" w:rsidR="00DC74C9" w:rsidRDefault="0063034C">
      <w:pPr>
        <w:spacing w:before="28" w:line="230" w:lineRule="exact"/>
        <w:ind w:left="110" w:right="117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tiefen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Energiebedarf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verdankt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neu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gebaute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Einfamilienhaus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(EFH)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Oldani/Wermelinger</w:t>
      </w:r>
      <w:r>
        <w:rPr>
          <w:rFonts w:ascii="Theinhardt Bold" w:eastAsia="Theinhardt Bold" w:hAnsi="Theinhardt Bold" w:cs="Theinhardt Bold"/>
          <w:b/>
          <w:bCs/>
          <w:color w:val="231F20"/>
          <w:spacing w:val="8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Hägglingen/AG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beispielhaften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Minergie-P-Standard.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Deshalb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benötigt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PlusEnergie-</w:t>
      </w:r>
      <w:r>
        <w:rPr>
          <w:rFonts w:ascii="Theinhardt Bold" w:eastAsia="Theinhardt Bold" w:hAnsi="Theinhardt Bold" w:cs="Theinhardt Bold"/>
          <w:b/>
          <w:bCs/>
          <w:color w:val="231F20"/>
          <w:spacing w:val="7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EFH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bloss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8’700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Strom.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21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ganzflächig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dachintegrierte</w:t>
      </w:r>
      <w:r>
        <w:rPr>
          <w:rFonts w:ascii="Theinhardt Bold" w:eastAsia="Theinhardt Bold" w:hAnsi="Theinhardt Bold" w:cs="Theinhardt Bold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4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22’000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Solarstrom.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Jahr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resultiert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ein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Solarstromüberschuss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13’300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kWh.</w:t>
      </w:r>
      <w:r>
        <w:rPr>
          <w:rFonts w:ascii="Theinhardt Bold" w:eastAsia="Theinhardt Bold" w:hAnsi="Theinhardt Bold" w:cs="Theinhardt Bold"/>
          <w:b/>
          <w:bCs/>
          <w:color w:val="231F20"/>
          <w:spacing w:val="9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PlusEnergie-EFH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Oldani/Wermelinger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Eigenversorgung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252%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eastAsia="Theinhardt Bold" w:hAnsi="Theinhardt Bold" w:cs="Theinhardt Bold"/>
          <w:b/>
          <w:bCs/>
          <w:color w:val="231F20"/>
          <w:spacing w:val="-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231F20"/>
          <w:spacing w:val="9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Solarstromüberschuss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könnten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neun E-Autos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je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12’000 km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position w:val="-5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-frei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fahren.</w:t>
      </w:r>
    </w:p>
    <w:p w14:paraId="714C7564" w14:textId="77777777" w:rsidR="00DC74C9" w:rsidRDefault="00DC74C9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DC74C9">
          <w:type w:val="continuous"/>
          <w:pgSz w:w="11910" w:h="16840"/>
          <w:pgMar w:top="840" w:right="440" w:bottom="280" w:left="740" w:header="720" w:footer="720" w:gutter="0"/>
          <w:cols w:num="2" w:space="720" w:equalWidth="0">
            <w:col w:w="2550" w:space="129"/>
            <w:col w:w="8051"/>
          </w:cols>
        </w:sectPr>
      </w:pPr>
    </w:p>
    <w:p w14:paraId="1D4070A5" w14:textId="77777777" w:rsidR="00DC74C9" w:rsidRDefault="00DC74C9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C2E3266" w14:textId="77777777" w:rsidR="00DC74C9" w:rsidRDefault="00DC74C9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3503F55" w14:textId="77777777" w:rsidR="00DC74C9" w:rsidRDefault="00DC74C9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89A7645" w14:textId="77777777" w:rsidR="00DC74C9" w:rsidRDefault="00DC74C9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A9BEF60" w14:textId="77777777" w:rsidR="00DC74C9" w:rsidRDefault="00DC74C9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B3AF2DF" w14:textId="77777777" w:rsidR="00DC74C9" w:rsidRDefault="00DC74C9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F8402F1" w14:textId="77777777" w:rsidR="00DC74C9" w:rsidRDefault="00DC74C9">
      <w:pPr>
        <w:spacing w:before="4"/>
        <w:rPr>
          <w:rFonts w:ascii="Theinhardt Bold" w:eastAsia="Theinhardt Bold" w:hAnsi="Theinhardt Bold" w:cs="Theinhardt Bold"/>
          <w:b/>
          <w:bCs/>
          <w:sz w:val="18"/>
          <w:szCs w:val="18"/>
        </w:rPr>
      </w:pPr>
    </w:p>
    <w:p w14:paraId="4671BEA7" w14:textId="77777777" w:rsidR="00DC74C9" w:rsidRDefault="0063034C">
      <w:pPr>
        <w:spacing w:before="5"/>
        <w:ind w:left="110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-1"/>
          <w:sz w:val="40"/>
        </w:rPr>
        <w:t>252%-PEB</w:t>
      </w:r>
      <w:r>
        <w:rPr>
          <w:rFonts w:ascii="Theinhardt Black" w:hAnsi="Theinhardt Black"/>
          <w:b/>
          <w:color w:val="0067B1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6"/>
          <w:sz w:val="40"/>
        </w:rPr>
        <w:t>O</w:t>
      </w:r>
      <w:r>
        <w:rPr>
          <w:rFonts w:ascii="Theinhardt Black" w:hAnsi="Theinhardt Black"/>
          <w:b/>
          <w:color w:val="0067B1"/>
          <w:spacing w:val="2"/>
          <w:sz w:val="40"/>
        </w:rPr>
        <w:t>l</w:t>
      </w:r>
      <w:r>
        <w:rPr>
          <w:rFonts w:ascii="Theinhardt Black" w:hAnsi="Theinhardt Black"/>
          <w:b/>
          <w:color w:val="0067B1"/>
          <w:spacing w:val="6"/>
          <w:sz w:val="40"/>
        </w:rPr>
        <w:t>d</w:t>
      </w:r>
      <w:r>
        <w:rPr>
          <w:rFonts w:ascii="Theinhardt Black" w:hAnsi="Theinhardt Black"/>
          <w:b/>
          <w:color w:val="0067B1"/>
          <w:spacing w:val="4"/>
          <w:sz w:val="40"/>
        </w:rPr>
        <w:t>a</w:t>
      </w:r>
      <w:r>
        <w:rPr>
          <w:rFonts w:ascii="Theinhardt Black" w:hAnsi="Theinhardt Black"/>
          <w:b/>
          <w:color w:val="0067B1"/>
          <w:spacing w:val="2"/>
          <w:sz w:val="40"/>
        </w:rPr>
        <w:t>n</w:t>
      </w:r>
      <w:r>
        <w:rPr>
          <w:rFonts w:ascii="Theinhardt Black" w:hAnsi="Theinhardt Black"/>
          <w:b/>
          <w:color w:val="0067B1"/>
          <w:spacing w:val="11"/>
          <w:sz w:val="40"/>
        </w:rPr>
        <w:t>i</w:t>
      </w:r>
      <w:r>
        <w:rPr>
          <w:rFonts w:ascii="Theinhardt Black" w:hAnsi="Theinhardt Black"/>
          <w:b/>
          <w:color w:val="0067B1"/>
          <w:spacing w:val="30"/>
          <w:sz w:val="40"/>
        </w:rPr>
        <w:t>/</w:t>
      </w:r>
      <w:r>
        <w:rPr>
          <w:rFonts w:ascii="Theinhardt Black" w:hAnsi="Theinhardt Black"/>
          <w:b/>
          <w:color w:val="0067B1"/>
          <w:spacing w:val="-2"/>
          <w:sz w:val="40"/>
        </w:rPr>
        <w:t>W</w:t>
      </w:r>
      <w:r>
        <w:rPr>
          <w:rFonts w:ascii="Theinhardt Black" w:hAnsi="Theinhardt Black"/>
          <w:b/>
          <w:color w:val="0067B1"/>
          <w:spacing w:val="2"/>
          <w:sz w:val="40"/>
        </w:rPr>
        <w:t>e</w:t>
      </w:r>
      <w:r>
        <w:rPr>
          <w:rFonts w:ascii="Theinhardt Black" w:hAnsi="Theinhardt Black"/>
          <w:b/>
          <w:color w:val="0067B1"/>
          <w:spacing w:val="8"/>
          <w:sz w:val="40"/>
        </w:rPr>
        <w:t>r</w:t>
      </w:r>
      <w:r>
        <w:rPr>
          <w:rFonts w:ascii="Theinhardt Black" w:hAnsi="Theinhardt Black"/>
          <w:b/>
          <w:color w:val="0067B1"/>
          <w:spacing w:val="1"/>
          <w:sz w:val="40"/>
        </w:rPr>
        <w:t>m</w:t>
      </w:r>
      <w:r>
        <w:rPr>
          <w:rFonts w:ascii="Theinhardt Black" w:hAnsi="Theinhardt Black"/>
          <w:b/>
          <w:color w:val="0067B1"/>
          <w:spacing w:val="2"/>
          <w:sz w:val="40"/>
        </w:rPr>
        <w:t>e</w:t>
      </w:r>
      <w:r>
        <w:rPr>
          <w:rFonts w:ascii="Theinhardt Black" w:hAnsi="Theinhardt Black"/>
          <w:b/>
          <w:color w:val="0067B1"/>
          <w:spacing w:val="3"/>
          <w:sz w:val="40"/>
        </w:rPr>
        <w:t>l</w:t>
      </w:r>
      <w:r>
        <w:rPr>
          <w:rFonts w:ascii="Theinhardt Black" w:hAnsi="Theinhardt Black"/>
          <w:b/>
          <w:color w:val="0067B1"/>
          <w:spacing w:val="2"/>
          <w:sz w:val="40"/>
        </w:rPr>
        <w:t>i</w:t>
      </w:r>
      <w:r>
        <w:rPr>
          <w:rFonts w:ascii="Theinhardt Black" w:hAnsi="Theinhardt Black"/>
          <w:b/>
          <w:color w:val="0067B1"/>
          <w:spacing w:val="1"/>
          <w:sz w:val="40"/>
        </w:rPr>
        <w:t>n</w:t>
      </w:r>
      <w:r>
        <w:rPr>
          <w:rFonts w:ascii="Theinhardt Black" w:hAnsi="Theinhardt Black"/>
          <w:b/>
          <w:color w:val="0067B1"/>
          <w:spacing w:val="2"/>
          <w:sz w:val="40"/>
        </w:rPr>
        <w:t>ge</w:t>
      </w:r>
      <w:r>
        <w:rPr>
          <w:rFonts w:ascii="Theinhardt Black" w:hAnsi="Theinhardt Black"/>
          <w:b/>
          <w:color w:val="0067B1"/>
          <w:spacing w:val="-24"/>
          <w:sz w:val="40"/>
        </w:rPr>
        <w:t>r</w:t>
      </w:r>
      <w:r>
        <w:rPr>
          <w:rFonts w:ascii="Theinhardt Black" w:hAnsi="Theinhardt Black"/>
          <w:b/>
          <w:color w:val="0067B1"/>
          <w:sz w:val="40"/>
        </w:rPr>
        <w:t>,</w:t>
      </w:r>
      <w:r>
        <w:rPr>
          <w:rFonts w:ascii="Theinhardt Black" w:hAnsi="Theinhardt Black"/>
          <w:b/>
          <w:color w:val="0067B1"/>
          <w:spacing w:val="-24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1"/>
          <w:sz w:val="40"/>
        </w:rPr>
        <w:t>5607</w:t>
      </w:r>
      <w:r>
        <w:rPr>
          <w:rFonts w:ascii="Theinhardt Black" w:hAnsi="Theinhardt Black"/>
          <w:b/>
          <w:color w:val="0067B1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4"/>
          <w:sz w:val="40"/>
        </w:rPr>
        <w:t>H</w:t>
      </w:r>
      <w:r>
        <w:rPr>
          <w:rFonts w:ascii="Theinhardt Black" w:hAnsi="Theinhardt Black"/>
          <w:b/>
          <w:color w:val="0067B1"/>
          <w:spacing w:val="6"/>
          <w:sz w:val="40"/>
        </w:rPr>
        <w:t>ä</w:t>
      </w:r>
      <w:r>
        <w:rPr>
          <w:rFonts w:ascii="Theinhardt Black" w:hAnsi="Theinhardt Black"/>
          <w:b/>
          <w:color w:val="0067B1"/>
          <w:spacing w:val="2"/>
          <w:sz w:val="40"/>
        </w:rPr>
        <w:t>gg</w:t>
      </w:r>
      <w:r>
        <w:rPr>
          <w:rFonts w:ascii="Theinhardt Black" w:hAnsi="Theinhardt Black"/>
          <w:b/>
          <w:color w:val="0067B1"/>
          <w:spacing w:val="4"/>
          <w:sz w:val="40"/>
        </w:rPr>
        <w:t>l</w:t>
      </w:r>
      <w:r>
        <w:rPr>
          <w:rFonts w:ascii="Theinhardt Black" w:hAnsi="Theinhardt Black"/>
          <w:b/>
          <w:color w:val="0067B1"/>
          <w:spacing w:val="2"/>
          <w:sz w:val="40"/>
        </w:rPr>
        <w:t>i</w:t>
      </w:r>
      <w:r>
        <w:rPr>
          <w:rFonts w:ascii="Theinhardt Black" w:hAnsi="Theinhardt Black"/>
          <w:b/>
          <w:color w:val="0067B1"/>
          <w:spacing w:val="1"/>
          <w:sz w:val="40"/>
        </w:rPr>
        <w:t>n</w:t>
      </w:r>
      <w:r>
        <w:rPr>
          <w:rFonts w:ascii="Theinhardt Black" w:hAnsi="Theinhardt Black"/>
          <w:b/>
          <w:color w:val="0067B1"/>
          <w:spacing w:val="2"/>
          <w:sz w:val="40"/>
        </w:rPr>
        <w:t>ge</w:t>
      </w:r>
      <w:r>
        <w:rPr>
          <w:rFonts w:ascii="Theinhardt Black" w:hAnsi="Theinhardt Black"/>
          <w:b/>
          <w:color w:val="0067B1"/>
          <w:spacing w:val="9"/>
          <w:sz w:val="40"/>
        </w:rPr>
        <w:t>n</w:t>
      </w:r>
      <w:r>
        <w:rPr>
          <w:rFonts w:ascii="Theinhardt Black" w:hAnsi="Theinhardt Black"/>
          <w:b/>
          <w:color w:val="0067B1"/>
          <w:spacing w:val="-26"/>
          <w:sz w:val="40"/>
        </w:rPr>
        <w:t>/</w:t>
      </w:r>
      <w:r>
        <w:rPr>
          <w:rFonts w:ascii="Theinhardt Black" w:hAnsi="Theinhardt Black"/>
          <w:b/>
          <w:color w:val="0067B1"/>
          <w:spacing w:val="-4"/>
          <w:sz w:val="40"/>
        </w:rPr>
        <w:t>A</w:t>
      </w:r>
      <w:r>
        <w:rPr>
          <w:rFonts w:ascii="Theinhardt Black" w:hAnsi="Theinhardt Black"/>
          <w:b/>
          <w:color w:val="0067B1"/>
          <w:sz w:val="40"/>
        </w:rPr>
        <w:t>G</w:t>
      </w:r>
    </w:p>
    <w:p w14:paraId="14ABE41D" w14:textId="77777777" w:rsidR="00DC74C9" w:rsidRDefault="00DC74C9">
      <w:pPr>
        <w:spacing w:before="2"/>
        <w:rPr>
          <w:rFonts w:ascii="Theinhardt Black" w:eastAsia="Theinhardt Black" w:hAnsi="Theinhardt Black" w:cs="Theinhardt Black"/>
          <w:b/>
          <w:bCs/>
          <w:sz w:val="23"/>
          <w:szCs w:val="23"/>
        </w:rPr>
      </w:pPr>
    </w:p>
    <w:p w14:paraId="215ADF0A" w14:textId="77777777" w:rsidR="00DC74C9" w:rsidRDefault="00DC74C9">
      <w:pPr>
        <w:rPr>
          <w:rFonts w:ascii="Theinhardt Black" w:eastAsia="Theinhardt Black" w:hAnsi="Theinhardt Black" w:cs="Theinhardt Black"/>
          <w:sz w:val="23"/>
          <w:szCs w:val="23"/>
        </w:rPr>
        <w:sectPr w:rsidR="00DC74C9">
          <w:type w:val="continuous"/>
          <w:pgSz w:w="11910" w:h="16840"/>
          <w:pgMar w:top="840" w:right="440" w:bottom="280" w:left="740" w:header="720" w:footer="720" w:gutter="0"/>
          <w:cols w:space="720"/>
        </w:sectPr>
      </w:pPr>
    </w:p>
    <w:p w14:paraId="362B4672" w14:textId="77777777" w:rsidR="00DC74C9" w:rsidRDefault="0063034C">
      <w:pPr>
        <w:pStyle w:val="Textkrper"/>
        <w:spacing w:line="232" w:lineRule="auto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Einfamilienhaus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Oldani/Wermelinger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Hägglingen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wurde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erstellt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überzeugt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durch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seine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natürliche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Bauweise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vorbildlicher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Dämmung.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Böden,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Wände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jeweils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mindes-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tens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gedämmt.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tiefen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U-Werte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variieren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zwischen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0.11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0.12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W/m</w:t>
      </w:r>
      <w:r>
        <w:rPr>
          <w:color w:val="231F20"/>
          <w:spacing w:val="-3"/>
          <w:position w:val="6"/>
          <w:sz w:val="10"/>
        </w:rPr>
        <w:t>2</w:t>
      </w:r>
      <w:r>
        <w:rPr>
          <w:color w:val="231F20"/>
          <w:spacing w:val="-3"/>
        </w:rPr>
        <w:t>K.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Fenster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3-fach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verglast.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Wär-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mebedarf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wird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durch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Wärmepumpe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Inverter-Technologie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gedeckt,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hohe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Energienutzung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ermöglicht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Eigenverbrauch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Solarstroms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er-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höht.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Haushaltsstromverbrauch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wird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LED-Beleuchtung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A+++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Geräten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möglichst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tief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gehalten.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wird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Minergie-P-Standard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erreicht,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tie-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 xml:space="preserve">fen Energiebedarf </w:t>
      </w:r>
      <w:r>
        <w:rPr>
          <w:color w:val="231F20"/>
        </w:rPr>
        <w:t>von 28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kWh/m</w:t>
      </w:r>
      <w:r>
        <w:rPr>
          <w:color w:val="231F20"/>
          <w:position w:val="6"/>
          <w:sz w:val="10"/>
        </w:rPr>
        <w:t>2</w:t>
      </w:r>
      <w:r>
        <w:rPr>
          <w:color w:val="231F20"/>
        </w:rPr>
        <w:t>a ermög-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licht.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Holzfassade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ganz-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flächig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dachintegrierten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PV-Anlage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Aussenhülle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schlicht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elegant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gestaltet.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Ost-West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ausgerichtete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PV-Anlage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lie-</w:t>
      </w:r>
    </w:p>
    <w:p w14:paraId="353A45A7" w14:textId="77777777" w:rsidR="00DC74C9" w:rsidRDefault="0063034C">
      <w:pPr>
        <w:pStyle w:val="Textkrper"/>
        <w:spacing w:before="78" w:line="228" w:lineRule="auto"/>
        <w:jc w:val="both"/>
      </w:pPr>
      <w:r>
        <w:br w:type="column"/>
      </w:r>
      <w:r>
        <w:rPr>
          <w:color w:val="231F20"/>
        </w:rPr>
        <w:t>fert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jährlich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22’000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kWh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Strom.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8’400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beträgt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Energiebedarf.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vor-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bildlicher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Dämmung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ganzflächig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tegrierten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PV-Anlage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entsteht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jährlicher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Solarstromüberschuss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13’300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kWh.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könnten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neun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Elektrofahrzeuge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jähr-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lich je eine </w:t>
      </w:r>
      <w:r>
        <w:rPr>
          <w:color w:val="231F20"/>
          <w:spacing w:val="-2"/>
        </w:rPr>
        <w:t>Strecke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von 12’000 km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fahren.</w:t>
      </w:r>
    </w:p>
    <w:p w14:paraId="178EE107" w14:textId="77777777" w:rsidR="00DC74C9" w:rsidRDefault="00DC74C9">
      <w:pPr>
        <w:spacing w:before="7"/>
        <w:rPr>
          <w:rFonts w:ascii="Theinhardt Regular" w:eastAsia="Theinhardt Regular" w:hAnsi="Theinhardt Regular" w:cs="Theinhardt Regular"/>
          <w:sz w:val="17"/>
          <w:szCs w:val="17"/>
        </w:rPr>
      </w:pPr>
    </w:p>
    <w:p w14:paraId="5F5B7659" w14:textId="77777777" w:rsidR="00DC74C9" w:rsidRDefault="0063034C">
      <w:pPr>
        <w:spacing w:line="232" w:lineRule="auto"/>
        <w:ind w:left="110" w:right="1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pict w14:anchorId="3817EA0A">
          <v:shape id="_x0000_s1047" type="#_x0000_t75" style="position:absolute;left:0;text-align:left;margin-left:42.5pt;margin-top:143.9pt;width:345.85pt;height:221.8pt;z-index:-5368;mso-position-horizontal-relative:page">
            <v:imagedata r:id="rId6" o:title=""/>
            <w10:wrap anchorx="page"/>
          </v:shape>
        </w:pic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nouvelle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villa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Oldani/Wermelinger,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Hägg-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lingen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(AG),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consomme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d’énergie,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qu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abe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8"/>
          <w:sz w:val="18"/>
          <w:szCs w:val="18"/>
        </w:rPr>
        <w:t>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ns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s’élèvent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total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8’700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surface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référence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énergétique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299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L’installation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21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kW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toute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toiture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génère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22’000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BEP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Oldani/Wer-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melinger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assure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ainsi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autoproduction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252%.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>L’excédent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13’300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permettrait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neuf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véhicules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électriques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parcourir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chacun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12’000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km/a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sans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émettre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position w:val="-5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.</w:t>
      </w:r>
    </w:p>
    <w:p w14:paraId="52D825FF" w14:textId="77777777" w:rsidR="00DC74C9" w:rsidRDefault="0063034C">
      <w:pPr>
        <w:spacing w:before="67"/>
        <w:ind w:left="110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/>
          <w:b/>
          <w:color w:val="231F20"/>
          <w:sz w:val="14"/>
        </w:rPr>
        <w:t xml:space="preserve"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</w:p>
    <w:p w14:paraId="49369688" w14:textId="77777777" w:rsidR="00DC74C9" w:rsidRDefault="00DC74C9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4E39B2A7" w14:textId="77777777" w:rsidR="00DC74C9" w:rsidRDefault="0063034C">
      <w:pPr>
        <w:spacing w:line="20" w:lineRule="atLeast"/>
        <w:ind w:left="110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5A4A74A9">
          <v:group id="_x0000_s1040" style="width:167.25pt;height:.45pt;mso-position-horizontal-relative:char;mso-position-vertical-relative:line" coordsize="3345,9">
            <v:group id="_x0000_s1045" style="position:absolute;left:21;top:4;width:3311;height:2" coordorigin="21,4" coordsize="3311,2">
              <v:shape id="_x0000_s1046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3" style="position:absolute;left:4;top:4;width:2;height:2" coordorigin="4,4" coordsize="2,2">
              <v:shape id="_x0000_s1044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1" style="position:absolute;left:3341;top:4;width:2;height:2" coordorigin="3341,4" coordsize="2,2">
              <v:shape id="_x0000_s1042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168782F1" w14:textId="77777777" w:rsidR="00DC74C9" w:rsidRDefault="0063034C">
      <w:pPr>
        <w:spacing w:before="20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Wärmedämmung</w:t>
      </w:r>
    </w:p>
    <w:p w14:paraId="67B71BF5" w14:textId="77777777" w:rsidR="00DC74C9" w:rsidRDefault="00DC74C9">
      <w:pPr>
        <w:spacing w:before="7"/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tbl>
      <w:tblPr>
        <w:tblStyle w:val="TableNormal"/>
        <w:tblW w:w="0" w:type="auto"/>
        <w:tblInd w:w="55" w:type="dxa"/>
        <w:tblLayout w:type="fixed"/>
        <w:tblLook w:val="01E0" w:firstRow="1" w:lastRow="1" w:firstColumn="1" w:lastColumn="1" w:noHBand="0" w:noVBand="0"/>
      </w:tblPr>
      <w:tblGrid>
        <w:gridCol w:w="665"/>
        <w:gridCol w:w="731"/>
        <w:gridCol w:w="788"/>
        <w:gridCol w:w="1026"/>
      </w:tblGrid>
      <w:tr w:rsidR="00DC74C9" w14:paraId="6C39C93B" w14:textId="77777777">
        <w:trPr>
          <w:trHeight w:hRule="exact" w:val="121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76B87FFC" w14:textId="77777777" w:rsidR="00DC74C9" w:rsidRDefault="0063034C">
            <w:pPr>
              <w:pStyle w:val="TableParagraph"/>
              <w:spacing w:line="121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Wand: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14:paraId="1F12DBAA" w14:textId="77777777" w:rsidR="00DC74C9" w:rsidRDefault="0063034C">
            <w:pPr>
              <w:pStyle w:val="TableParagraph"/>
              <w:spacing w:line="121" w:lineRule="exact"/>
              <w:ind w:left="22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30 cm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3181B8A3" w14:textId="77777777" w:rsidR="00DC74C9" w:rsidRDefault="0063034C">
            <w:pPr>
              <w:pStyle w:val="TableParagraph"/>
              <w:spacing w:line="121" w:lineRule="exact"/>
              <w:ind w:left="12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589521AD" w14:textId="77777777" w:rsidR="00DC74C9" w:rsidRDefault="0063034C">
            <w:pPr>
              <w:pStyle w:val="TableParagraph"/>
              <w:spacing w:line="121" w:lineRule="exact"/>
              <w:ind w:left="23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3"/>
                <w:sz w:val="14"/>
              </w:rPr>
              <w:t>0.12</w:t>
            </w:r>
            <w:r>
              <w:rPr>
                <w:rFonts w:ascii="Theinhardt Regular"/>
                <w:spacing w:val="-11"/>
                <w:sz w:val="14"/>
              </w:rPr>
              <w:t xml:space="preserve"> </w:t>
            </w:r>
            <w:r>
              <w:rPr>
                <w:rFonts w:ascii="Theinhardt Regular"/>
                <w:sz w:val="14"/>
              </w:rPr>
              <w:t>W/m</w:t>
            </w:r>
            <w:r>
              <w:rPr>
                <w:rFonts w:ascii="Theinhardt Regular"/>
                <w:position w:val="5"/>
                <w:sz w:val="8"/>
              </w:rPr>
              <w:t>2</w:t>
            </w:r>
            <w:r>
              <w:rPr>
                <w:rFonts w:ascii="Theinhardt Regular"/>
                <w:sz w:val="14"/>
              </w:rPr>
              <w:t>K</w:t>
            </w:r>
          </w:p>
        </w:tc>
      </w:tr>
      <w:tr w:rsidR="00DC74C9" w14:paraId="08011FEA" w14:textId="77777777">
        <w:trPr>
          <w:trHeight w:hRule="exact" w:val="16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7FE9BF09" w14:textId="77777777" w:rsidR="00DC74C9" w:rsidRDefault="0063034C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Dach: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14:paraId="4552BDF8" w14:textId="77777777" w:rsidR="00DC74C9" w:rsidRDefault="0063034C">
            <w:pPr>
              <w:pStyle w:val="TableParagraph"/>
              <w:spacing w:line="160" w:lineRule="exact"/>
              <w:ind w:left="222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34 cm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124EBD1F" w14:textId="77777777" w:rsidR="00DC74C9" w:rsidRDefault="0063034C">
            <w:pPr>
              <w:pStyle w:val="TableParagraph"/>
              <w:spacing w:line="160" w:lineRule="exact"/>
              <w:ind w:left="12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71BA028F" w14:textId="77777777" w:rsidR="00DC74C9" w:rsidRDefault="0063034C">
            <w:pPr>
              <w:pStyle w:val="TableParagraph"/>
              <w:spacing w:line="160" w:lineRule="exact"/>
              <w:ind w:left="22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4"/>
                <w:sz w:val="14"/>
              </w:rPr>
              <w:t>0.11</w:t>
            </w:r>
            <w:r>
              <w:rPr>
                <w:rFonts w:ascii="Theinhardt Regular"/>
                <w:sz w:val="14"/>
              </w:rPr>
              <w:t xml:space="preserve"> W/m</w:t>
            </w:r>
            <w:r>
              <w:rPr>
                <w:rFonts w:ascii="Theinhardt Regular"/>
                <w:position w:val="5"/>
                <w:sz w:val="8"/>
              </w:rPr>
              <w:t>2</w:t>
            </w:r>
            <w:r>
              <w:rPr>
                <w:rFonts w:ascii="Theinhardt Regular"/>
                <w:sz w:val="14"/>
              </w:rPr>
              <w:t>K</w:t>
            </w:r>
          </w:p>
        </w:tc>
      </w:tr>
      <w:tr w:rsidR="00DC74C9" w14:paraId="3C1CDCC5" w14:textId="77777777">
        <w:trPr>
          <w:trHeight w:hRule="exact" w:val="16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E320024" w14:textId="77777777" w:rsidR="00DC74C9" w:rsidRDefault="0063034C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Boden: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14:paraId="4F3C3E64" w14:textId="77777777" w:rsidR="00DC74C9" w:rsidRDefault="0063034C">
            <w:pPr>
              <w:pStyle w:val="TableParagraph"/>
              <w:spacing w:line="160" w:lineRule="exact"/>
              <w:ind w:left="22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1"/>
                <w:sz w:val="14"/>
              </w:rPr>
              <w:t>32</w:t>
            </w:r>
            <w:r>
              <w:rPr>
                <w:rFonts w:ascii="Theinhardt Regular"/>
                <w:sz w:val="14"/>
              </w:rPr>
              <w:t xml:space="preserve"> cm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55326FF2" w14:textId="77777777" w:rsidR="00DC74C9" w:rsidRDefault="0063034C">
            <w:pPr>
              <w:pStyle w:val="TableParagraph"/>
              <w:spacing w:line="160" w:lineRule="exact"/>
              <w:ind w:left="12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0AFD8D28" w14:textId="77777777" w:rsidR="00DC74C9" w:rsidRDefault="0063034C">
            <w:pPr>
              <w:pStyle w:val="TableParagraph"/>
              <w:spacing w:line="160" w:lineRule="exact"/>
              <w:ind w:left="22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pacing w:val="-4"/>
                <w:sz w:val="14"/>
              </w:rPr>
              <w:t>0.11</w:t>
            </w:r>
            <w:r>
              <w:rPr>
                <w:rFonts w:ascii="Theinhardt Regular"/>
                <w:sz w:val="14"/>
              </w:rPr>
              <w:t xml:space="preserve"> W/m</w:t>
            </w:r>
            <w:r>
              <w:rPr>
                <w:rFonts w:ascii="Theinhardt Regular"/>
                <w:position w:val="5"/>
                <w:sz w:val="8"/>
              </w:rPr>
              <w:t>2</w:t>
            </w:r>
            <w:r>
              <w:rPr>
                <w:rFonts w:ascii="Theinhardt Regular"/>
                <w:sz w:val="14"/>
              </w:rPr>
              <w:t>K</w:t>
            </w:r>
          </w:p>
        </w:tc>
      </w:tr>
      <w:tr w:rsidR="00DC74C9" w14:paraId="422D55B5" w14:textId="77777777">
        <w:trPr>
          <w:trHeight w:hRule="exact" w:val="190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3A4E55F9" w14:textId="77777777" w:rsidR="00DC74C9" w:rsidRDefault="0063034C">
            <w:pPr>
              <w:pStyle w:val="TableParagraph"/>
              <w:spacing w:line="166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Fenster: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14:paraId="6A44F437" w14:textId="77777777" w:rsidR="00DC74C9" w:rsidRDefault="0063034C">
            <w:pPr>
              <w:pStyle w:val="TableParagraph"/>
              <w:spacing w:line="166" w:lineRule="exact"/>
              <w:ind w:left="12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dreifach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7259DC1C" w14:textId="77777777" w:rsidR="00DC74C9" w:rsidRDefault="0063034C">
            <w:pPr>
              <w:pStyle w:val="TableParagraph"/>
              <w:spacing w:line="166" w:lineRule="exact"/>
              <w:ind w:left="12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U-Wert: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14:paraId="7C5E2138" w14:textId="77777777" w:rsidR="00DC74C9" w:rsidRDefault="0063034C">
            <w:pPr>
              <w:pStyle w:val="TableParagraph"/>
              <w:spacing w:line="166" w:lineRule="exact"/>
              <w:ind w:left="20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sz w:val="14"/>
              </w:rPr>
              <w:t>0.80 W/m</w:t>
            </w:r>
            <w:r>
              <w:rPr>
                <w:rFonts w:ascii="Theinhardt Regular"/>
                <w:position w:val="5"/>
                <w:sz w:val="8"/>
              </w:rPr>
              <w:t>2</w:t>
            </w:r>
            <w:r>
              <w:rPr>
                <w:rFonts w:ascii="Theinhardt Regular"/>
                <w:sz w:val="14"/>
              </w:rPr>
              <w:t>K</w:t>
            </w:r>
          </w:p>
        </w:tc>
      </w:tr>
    </w:tbl>
    <w:p w14:paraId="603DDE0A" w14:textId="77777777" w:rsidR="00DC74C9" w:rsidRDefault="0063034C">
      <w:pPr>
        <w:spacing w:before="8" w:line="172" w:lineRule="exact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Energiebedarf</w:t>
      </w:r>
    </w:p>
    <w:p w14:paraId="407C04F1" w14:textId="77777777" w:rsidR="00DC74C9" w:rsidRDefault="0063034C">
      <w:pPr>
        <w:tabs>
          <w:tab w:val="left" w:pos="1471"/>
          <w:tab w:val="left" w:pos="1835"/>
          <w:tab w:val="left" w:pos="2365"/>
          <w:tab w:val="left" w:pos="2402"/>
          <w:tab w:val="left" w:pos="2813"/>
        </w:tabs>
        <w:spacing w:before="6" w:line="207" w:lineRule="auto"/>
        <w:ind w:left="110" w:right="369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EBF: 299 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kWh/a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Heizung: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6.7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>23</w:t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2’005</w:t>
      </w:r>
    </w:p>
    <w:p w14:paraId="70D66D2F" w14:textId="77777777" w:rsidR="00DC74C9" w:rsidRDefault="0063034C">
      <w:pPr>
        <w:tabs>
          <w:tab w:val="left" w:pos="1743"/>
          <w:tab w:val="left" w:pos="2364"/>
          <w:tab w:val="left" w:pos="2851"/>
        </w:tabs>
        <w:spacing w:line="154" w:lineRule="exact"/>
        <w:ind w:left="11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22.5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77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6’716</w:t>
      </w:r>
    </w:p>
    <w:p w14:paraId="6D27A9E5" w14:textId="77777777" w:rsidR="00DC74C9" w:rsidRDefault="0063034C">
      <w:pPr>
        <w:tabs>
          <w:tab w:val="left" w:pos="1733"/>
          <w:tab w:val="left" w:pos="2282"/>
          <w:tab w:val="left" w:pos="2831"/>
        </w:tabs>
        <w:spacing w:line="172" w:lineRule="exact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w w:val="95"/>
          <w:sz w:val="14"/>
          <w:szCs w:val="14"/>
        </w:rPr>
        <w:t>29.2</w:t>
      </w:r>
      <w:r>
        <w:rPr>
          <w:rFonts w:ascii="Theinhardt Bold" w:eastAsia="Theinhardt Bold" w:hAnsi="Theinhardt Bold" w:cs="Theinhardt Bold"/>
          <w:b/>
          <w:bCs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8’721</w:t>
      </w:r>
    </w:p>
    <w:p w14:paraId="25AD9FEB" w14:textId="77777777" w:rsidR="00DC74C9" w:rsidRDefault="0063034C">
      <w:pPr>
        <w:spacing w:before="32" w:line="172" w:lineRule="exact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Energieversorgung</w:t>
      </w:r>
    </w:p>
    <w:p w14:paraId="10DCB93D" w14:textId="77777777" w:rsidR="00DC74C9" w:rsidRDefault="0063034C">
      <w:pPr>
        <w:tabs>
          <w:tab w:val="left" w:pos="766"/>
          <w:tab w:val="left" w:pos="1665"/>
          <w:tab w:val="left" w:pos="2285"/>
          <w:tab w:val="left" w:pos="2402"/>
          <w:tab w:val="left" w:pos="2752"/>
          <w:tab w:val="left" w:pos="2813"/>
        </w:tabs>
        <w:spacing w:before="6" w:line="207" w:lineRule="auto"/>
        <w:ind w:left="110" w:right="369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Eigen-EV:  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2 </w:t>
      </w:r>
      <w:r>
        <w:rPr>
          <w:rFonts w:ascii="Theinhardt Regular" w:eastAsia="Theinhardt Regular" w:hAnsi="Theinhardt Regular" w:cs="Theinhardt Regular"/>
          <w:color w:val="231F20"/>
          <w:spacing w:val="11"/>
          <w:position w:val="5"/>
          <w:sz w:val="8"/>
          <w:szCs w:val="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kWp  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2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PV: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140</w:t>
      </w:r>
      <w:r>
        <w:rPr>
          <w:rFonts w:ascii="Theinhardt Regular" w:eastAsia="Theinhardt Regular" w:hAnsi="Theinhardt Regular" w:cs="Theinhardt Regular"/>
          <w:color w:val="231F20"/>
          <w:spacing w:val="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21.4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166.5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252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21’985</w:t>
      </w:r>
    </w:p>
    <w:p w14:paraId="7EBB1BD8" w14:textId="77777777" w:rsidR="00DC74C9" w:rsidRDefault="0063034C">
      <w:pPr>
        <w:tabs>
          <w:tab w:val="left" w:pos="2402"/>
          <w:tab w:val="left" w:pos="2813"/>
        </w:tabs>
        <w:spacing w:before="38" w:line="172" w:lineRule="exact"/>
        <w:ind w:left="11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Energiebilanz </w:t>
      </w:r>
      <w:r>
        <w:rPr>
          <w:rFonts w:ascii="Theinhardt Regular"/>
          <w:color w:val="231F20"/>
          <w:sz w:val="14"/>
        </w:rPr>
        <w:t>(Endenergie)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6B2820A2" w14:textId="77777777" w:rsidR="00DC74C9" w:rsidRDefault="0063034C">
      <w:pPr>
        <w:tabs>
          <w:tab w:val="left" w:pos="2280"/>
          <w:tab w:val="left" w:pos="2752"/>
        </w:tabs>
        <w:spacing w:line="172" w:lineRule="exact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Eigenenergieversorgung: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ab/>
        <w:t>252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ab/>
        <w:t>21’985</w:t>
      </w:r>
    </w:p>
    <w:p w14:paraId="7D78C7BB" w14:textId="77777777" w:rsidR="00DC74C9" w:rsidRDefault="00DC74C9">
      <w:pPr>
        <w:spacing w:before="1"/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tbl>
      <w:tblPr>
        <w:tblStyle w:val="TableNormal"/>
        <w:tblW w:w="0" w:type="auto"/>
        <w:tblInd w:w="55" w:type="dxa"/>
        <w:tblLayout w:type="fixed"/>
        <w:tblLook w:val="01E0" w:firstRow="1" w:lastRow="1" w:firstColumn="1" w:lastColumn="1" w:noHBand="0" w:noVBand="0"/>
      </w:tblPr>
      <w:tblGrid>
        <w:gridCol w:w="1855"/>
        <w:gridCol w:w="730"/>
        <w:gridCol w:w="625"/>
      </w:tblGrid>
      <w:tr w:rsidR="00DC74C9" w14:paraId="0CB2A4FC" w14:textId="77777777">
        <w:trPr>
          <w:trHeight w:hRule="exact" w:val="128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 w14:paraId="1D934BE5" w14:textId="77777777" w:rsidR="00DC74C9" w:rsidRDefault="0063034C">
            <w:pPr>
              <w:pStyle w:val="TableParagraph"/>
              <w:spacing w:line="128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Gesamtenergiebedarf: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36D34684" w14:textId="77777777" w:rsidR="00DC74C9" w:rsidRDefault="0063034C">
            <w:pPr>
              <w:pStyle w:val="TableParagraph"/>
              <w:spacing w:line="128" w:lineRule="exact"/>
              <w:ind w:left="37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14:paraId="624503E0" w14:textId="77777777" w:rsidR="00DC74C9" w:rsidRDefault="0063034C">
            <w:pPr>
              <w:pStyle w:val="TableParagraph"/>
              <w:spacing w:line="128" w:lineRule="exact"/>
              <w:ind w:left="20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1"/>
                <w:sz w:val="14"/>
                <w:szCs w:val="14"/>
              </w:rPr>
              <w:t>8’721</w:t>
            </w:r>
          </w:p>
        </w:tc>
      </w:tr>
      <w:tr w:rsidR="00DC74C9" w14:paraId="5E5B19D0" w14:textId="77777777">
        <w:trPr>
          <w:trHeight w:hRule="exact" w:val="187"/>
        </w:trPr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</w:tcPr>
          <w:p w14:paraId="3C700DA5" w14:textId="77777777" w:rsidR="00DC74C9" w:rsidRDefault="0063034C">
            <w:pPr>
              <w:pStyle w:val="TableParagraph"/>
              <w:spacing w:line="165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Solarstromüberschuss: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31C85254" w14:textId="77777777" w:rsidR="00DC74C9" w:rsidRDefault="0063034C">
            <w:pPr>
              <w:pStyle w:val="TableParagraph"/>
              <w:spacing w:line="165" w:lineRule="exact"/>
              <w:ind w:left="374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2"/>
                <w:sz w:val="14"/>
              </w:rPr>
              <w:t>152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</w:tcPr>
          <w:p w14:paraId="6D0B1CC1" w14:textId="77777777" w:rsidR="00DC74C9" w:rsidRDefault="0063034C">
            <w:pPr>
              <w:pStyle w:val="TableParagraph"/>
              <w:spacing w:line="165" w:lineRule="exact"/>
              <w:ind w:left="109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13’264</w:t>
            </w:r>
          </w:p>
        </w:tc>
      </w:tr>
    </w:tbl>
    <w:p w14:paraId="67FA2A95" w14:textId="77777777" w:rsidR="00DC74C9" w:rsidRDefault="0063034C">
      <w:pPr>
        <w:spacing w:before="17" w:line="160" w:lineRule="exact"/>
        <w:ind w:left="110" w:right="263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Bestätigt von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AEW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 xml:space="preserve"> AG </w:t>
      </w:r>
      <w:r>
        <w:rPr>
          <w:rFonts w:ascii="Theinhardt Regular" w:hAnsi="Theinhardt Regular"/>
          <w:color w:val="231F20"/>
          <w:sz w:val="14"/>
        </w:rPr>
        <w:t>am 16.06.2020</w:t>
      </w:r>
      <w:r>
        <w:rPr>
          <w:rFonts w:ascii="Theinhardt Regular" w:hAnsi="Theinhardt Regular"/>
          <w:color w:val="231F20"/>
          <w:spacing w:val="27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Bruno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Fortunati,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62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834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23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23</w:t>
      </w:r>
    </w:p>
    <w:p w14:paraId="03409729" w14:textId="77777777" w:rsidR="00DC74C9" w:rsidRDefault="0063034C">
      <w:pPr>
        <w:spacing w:before="56" w:line="160" w:lineRule="exact"/>
        <w:ind w:left="110" w:right="125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Anm.:</w:t>
      </w:r>
      <w:r>
        <w:rPr>
          <w:rFonts w:ascii="Theinhardt Bold" w:hAnsi="Theinhardt Bold"/>
          <w:b/>
          <w:color w:val="231F20"/>
          <w:spacing w:val="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Solarertrag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war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in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1.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Hälfte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2020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über-</w:t>
      </w:r>
      <w:r>
        <w:rPr>
          <w:rFonts w:ascii="Theinhardt Regular" w:hAnsi="Theinhardt Regular"/>
          <w:color w:val="231F20"/>
          <w:spacing w:val="4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durchschnittlich.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Alle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müssen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rechtsgleich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behandelt</w:t>
      </w:r>
      <w:r>
        <w:rPr>
          <w:rFonts w:ascii="Theinhardt Regular" w:hAnsi="Theinhardt Regular"/>
          <w:color w:val="231F20"/>
          <w:spacing w:val="5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werden</w:t>
      </w:r>
      <w:r>
        <w:rPr>
          <w:rFonts w:ascii="Theinhardt Regular" w:hAnsi="Theinhardt Regular"/>
          <w:color w:val="231F20"/>
          <w:sz w:val="14"/>
        </w:rPr>
        <w:t xml:space="preserve"> (vgl. </w:t>
      </w:r>
      <w:r>
        <w:rPr>
          <w:rFonts w:ascii="Theinhardt Regular" w:hAnsi="Theinhardt Regular"/>
          <w:color w:val="231F20"/>
          <w:spacing w:val="2"/>
          <w:sz w:val="14"/>
        </w:rPr>
        <w:t>Rechtsfragen,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S.</w:t>
      </w:r>
      <w:r>
        <w:rPr>
          <w:rFonts w:ascii="Theinhardt Regular" w:hAnsi="Theinhardt Regular"/>
          <w:color w:val="231F20"/>
          <w:sz w:val="14"/>
        </w:rPr>
        <w:t xml:space="preserve"> 44).</w:t>
      </w:r>
    </w:p>
    <w:p w14:paraId="5FF3AB20" w14:textId="77777777" w:rsidR="00DC74C9" w:rsidRDefault="0063034C">
      <w:pPr>
        <w:spacing w:before="105"/>
        <w:ind w:left="110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 xml:space="preserve"> </w:t>
      </w:r>
      <w:r>
        <w:rPr>
          <w:rFonts w:ascii="Theinhardt Black"/>
          <w:b/>
          <w:color w:val="231F20"/>
          <w:spacing w:val="2"/>
          <w:sz w:val="14"/>
        </w:rPr>
        <w:t>Personen</w:t>
      </w:r>
    </w:p>
    <w:p w14:paraId="21F8E36A" w14:textId="77777777" w:rsidR="00DC74C9" w:rsidRDefault="00DC74C9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64391C7E" w14:textId="77777777" w:rsidR="00DC74C9" w:rsidRDefault="0063034C">
      <w:pPr>
        <w:spacing w:line="20" w:lineRule="atLeast"/>
        <w:ind w:left="110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0CF462DE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7E06F672" w14:textId="77777777" w:rsidR="00DC74C9" w:rsidRDefault="0063034C">
      <w:pPr>
        <w:spacing w:before="28" w:line="160" w:lineRule="exact"/>
        <w:ind w:left="110" w:right="369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 xml:space="preserve"> Standort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b/>
          <w:color w:val="231F20"/>
          <w:spacing w:val="4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Oldani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Matthias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Wermelinger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Veronika</w:t>
      </w:r>
      <w:r>
        <w:rPr>
          <w:rFonts w:ascii="Theinhardt Regular" w:hAnsi="Theinhardt Regular"/>
          <w:color w:val="231F20"/>
          <w:spacing w:val="3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Schafweid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5"/>
          <w:sz w:val="14"/>
        </w:rPr>
        <w:t>7,</w:t>
      </w:r>
      <w:r>
        <w:rPr>
          <w:rFonts w:ascii="Theinhardt Regular" w:hAnsi="Theinhardt Regular"/>
          <w:color w:val="231F20"/>
          <w:sz w:val="14"/>
        </w:rPr>
        <w:t xml:space="preserve"> 5607 </w:t>
      </w:r>
      <w:r>
        <w:rPr>
          <w:rFonts w:ascii="Theinhardt Regular" w:hAnsi="Theinhardt Regular"/>
          <w:color w:val="231F20"/>
          <w:spacing w:val="1"/>
          <w:sz w:val="14"/>
        </w:rPr>
        <w:t>Hägglingen</w:t>
      </w:r>
    </w:p>
    <w:p w14:paraId="6C296A19" w14:textId="77777777" w:rsidR="00DC74C9" w:rsidRDefault="0063034C">
      <w:pPr>
        <w:spacing w:before="49" w:line="172" w:lineRule="exact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</w:p>
    <w:p w14:paraId="0BD83680" w14:textId="77777777" w:rsidR="00DC74C9" w:rsidRDefault="0063034C">
      <w:pPr>
        <w:spacing w:before="6" w:line="207" w:lineRule="auto"/>
        <w:ind w:left="110" w:right="369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Oldani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Architektur</w:t>
      </w:r>
      <w:r>
        <w:rPr>
          <w:rFonts w:ascii="Theinhardt Regular" w:hAnsi="Theinhardt Regular"/>
          <w:color w:val="231F20"/>
          <w:sz w:val="14"/>
        </w:rPr>
        <w:t xml:space="preserve"> &amp; </w:t>
      </w:r>
      <w:r>
        <w:rPr>
          <w:rFonts w:ascii="Theinhardt Regular" w:hAnsi="Theinhardt Regular"/>
          <w:color w:val="231F20"/>
          <w:spacing w:val="1"/>
          <w:sz w:val="14"/>
        </w:rPr>
        <w:t>Bauberatung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GmbH</w:t>
      </w:r>
      <w:r>
        <w:rPr>
          <w:rFonts w:ascii="Theinhardt Regular" w:hAnsi="Theinhardt Regular"/>
          <w:color w:val="231F20"/>
          <w:spacing w:val="38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Klostermatt</w:t>
      </w:r>
      <w:r>
        <w:rPr>
          <w:rFonts w:ascii="Theinhardt Regular" w:hAnsi="Theinhardt Regular"/>
          <w:color w:val="231F20"/>
          <w:sz w:val="14"/>
        </w:rPr>
        <w:t xml:space="preserve"> 2, </w:t>
      </w:r>
      <w:r>
        <w:rPr>
          <w:rFonts w:ascii="Theinhardt Regular" w:hAnsi="Theinhardt Regular"/>
          <w:color w:val="231F20"/>
          <w:spacing w:val="-1"/>
          <w:sz w:val="14"/>
        </w:rPr>
        <w:t>5522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Tägerig</w:t>
      </w:r>
    </w:p>
    <w:p w14:paraId="00AF71E5" w14:textId="77777777" w:rsidR="00DC74C9" w:rsidRDefault="0063034C">
      <w:pPr>
        <w:spacing w:line="167" w:lineRule="exact"/>
        <w:ind w:left="11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56 </w:t>
      </w:r>
      <w:r>
        <w:rPr>
          <w:rFonts w:ascii="Theinhardt Regular"/>
          <w:color w:val="231F20"/>
          <w:spacing w:val="-3"/>
          <w:sz w:val="14"/>
        </w:rPr>
        <w:t>470</w:t>
      </w:r>
      <w:r>
        <w:rPr>
          <w:rFonts w:ascii="Theinhardt Regular"/>
          <w:color w:val="231F20"/>
          <w:sz w:val="14"/>
        </w:rPr>
        <w:t xml:space="preserve"> 63 8</w:t>
      </w:r>
      <w:hyperlink r:id="rId7">
        <w:r>
          <w:rPr>
            <w:rFonts w:ascii="Theinhardt Regular"/>
            <w:color w:val="231F20"/>
            <w:sz w:val="14"/>
          </w:rPr>
          <w:t xml:space="preserve">4, </w:t>
        </w:r>
        <w:r>
          <w:rPr>
            <w:rFonts w:ascii="Theinhardt Regular"/>
            <w:color w:val="231F20"/>
            <w:spacing w:val="1"/>
            <w:sz w:val="14"/>
          </w:rPr>
          <w:t>oldani@architekt-oldani.ch</w:t>
        </w:r>
      </w:hyperlink>
    </w:p>
    <w:p w14:paraId="65B103CE" w14:textId="77777777" w:rsidR="00DC74C9" w:rsidRDefault="0063034C">
      <w:pPr>
        <w:spacing w:before="32" w:line="172" w:lineRule="exact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Projektbeteiligung</w:t>
      </w:r>
    </w:p>
    <w:p w14:paraId="52EBD6B8" w14:textId="77777777" w:rsidR="00DC74C9" w:rsidRDefault="0063034C">
      <w:pPr>
        <w:spacing w:line="160" w:lineRule="exact"/>
        <w:ind w:left="11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O.</w:t>
      </w:r>
      <w:r>
        <w:rPr>
          <w:rFonts w:ascii="Theinhardt Regular"/>
          <w:color w:val="231F20"/>
          <w:sz w:val="14"/>
        </w:rPr>
        <w:t xml:space="preserve"> KOHLER AG,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56 </w:t>
      </w:r>
      <w:r>
        <w:rPr>
          <w:rFonts w:ascii="Theinhardt Regular"/>
          <w:color w:val="231F20"/>
          <w:spacing w:val="-1"/>
          <w:sz w:val="14"/>
        </w:rPr>
        <w:t>622</w:t>
      </w:r>
      <w:r>
        <w:rPr>
          <w:rFonts w:ascii="Theinhardt Regular"/>
          <w:color w:val="231F20"/>
          <w:sz w:val="14"/>
        </w:rPr>
        <w:t xml:space="preserve"> 94 36</w:t>
      </w:r>
    </w:p>
    <w:p w14:paraId="3C9930D4" w14:textId="77777777" w:rsidR="00DC74C9" w:rsidRDefault="0063034C">
      <w:pPr>
        <w:spacing w:line="160" w:lineRule="exact"/>
        <w:ind w:left="11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Hilpert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Haustechnik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56 </w:t>
      </w:r>
      <w:r>
        <w:rPr>
          <w:rFonts w:ascii="Theinhardt Regular"/>
          <w:color w:val="231F20"/>
          <w:spacing w:val="-1"/>
          <w:sz w:val="14"/>
        </w:rPr>
        <w:t>491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47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13</w:t>
      </w:r>
    </w:p>
    <w:p w14:paraId="5BF302A4" w14:textId="77777777" w:rsidR="00DC74C9" w:rsidRDefault="0063034C">
      <w:pPr>
        <w:spacing w:line="160" w:lineRule="exact"/>
        <w:ind w:left="11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Hans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Geissmann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56 </w:t>
      </w:r>
      <w:r>
        <w:rPr>
          <w:rFonts w:ascii="Theinhardt Regular"/>
          <w:color w:val="231F20"/>
          <w:spacing w:val="-2"/>
          <w:sz w:val="14"/>
        </w:rPr>
        <w:t>624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13</w:t>
      </w:r>
      <w:r>
        <w:rPr>
          <w:rFonts w:ascii="Theinhardt Regular"/>
          <w:color w:val="231F20"/>
          <w:sz w:val="14"/>
        </w:rPr>
        <w:t xml:space="preserve"> 65</w:t>
      </w:r>
    </w:p>
    <w:p w14:paraId="14B92E50" w14:textId="77777777" w:rsidR="00DC74C9" w:rsidRDefault="0063034C">
      <w:pPr>
        <w:spacing w:line="172" w:lineRule="exact"/>
        <w:ind w:left="11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 xml:space="preserve">Eglin </w:t>
      </w:r>
      <w:r>
        <w:rPr>
          <w:rFonts w:ascii="Theinhardt Regular"/>
          <w:color w:val="231F20"/>
          <w:spacing w:val="2"/>
          <w:sz w:val="14"/>
        </w:rPr>
        <w:t>Elektro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62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888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17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17</w:t>
      </w:r>
    </w:p>
    <w:p w14:paraId="1F3279A6" w14:textId="77777777" w:rsidR="00DC74C9" w:rsidRDefault="00DC74C9">
      <w:pPr>
        <w:spacing w:line="172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DC74C9">
          <w:type w:val="continuous"/>
          <w:pgSz w:w="11910" w:h="16840"/>
          <w:pgMar w:top="840" w:right="440" w:bottom="280" w:left="740" w:header="720" w:footer="720" w:gutter="0"/>
          <w:cols w:num="3" w:space="720" w:equalWidth="0">
            <w:col w:w="3467" w:space="105"/>
            <w:col w:w="3467" w:space="105"/>
            <w:col w:w="3586"/>
          </w:cols>
        </w:sectPr>
      </w:pPr>
    </w:p>
    <w:p w14:paraId="6E718CD3" w14:textId="77777777" w:rsidR="00DC74C9" w:rsidRDefault="00DC74C9">
      <w:pPr>
        <w:spacing w:before="9"/>
        <w:rPr>
          <w:rFonts w:ascii="Theinhardt Regular" w:eastAsia="Theinhardt Regular" w:hAnsi="Theinhardt Regular" w:cs="Theinhardt Regular"/>
          <w:sz w:val="2"/>
          <w:szCs w:val="2"/>
        </w:rPr>
      </w:pPr>
    </w:p>
    <w:p w14:paraId="15346B59" w14:textId="77777777" w:rsidR="00DC74C9" w:rsidRDefault="0063034C">
      <w:pPr>
        <w:spacing w:line="20" w:lineRule="atLeast"/>
        <w:ind w:left="7253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0231B9ED">
          <v:group id="_x0000_s1026" style="width:167.25pt;height:.45pt;mso-position-horizontal-relative:char;mso-position-vertical-relative:line" coordsize="3345,9">
            <v:group id="_x0000_s1031" style="position:absolute;left:21;top:4;width:3311;height:2" coordorigin="21,4" coordsize="3311,2">
              <v:shape id="_x0000_s1032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29" style="position:absolute;left:4;top:4;width:2;height:2" coordorigin="4,4" coordsize="2,2">
              <v:shape id="_x0000_s103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7" style="position:absolute;left:3341;top:4;width:2;height:2" coordorigin="3341,4" coordsize="2,2">
              <v:shape id="_x0000_s1028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1706F001" w14:textId="77777777" w:rsidR="00DC74C9" w:rsidRDefault="00DC74C9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00321276" w14:textId="77777777" w:rsidR="00DC74C9" w:rsidRDefault="00DC74C9">
      <w:pPr>
        <w:spacing w:before="13"/>
        <w:rPr>
          <w:rFonts w:ascii="Theinhardt Regular" w:eastAsia="Theinhardt Regular" w:hAnsi="Theinhardt Regular" w:cs="Theinhardt Regular"/>
          <w:sz w:val="27"/>
          <w:szCs w:val="27"/>
        </w:rPr>
      </w:pPr>
    </w:p>
    <w:p w14:paraId="1BFADFE8" w14:textId="77777777" w:rsidR="00DC74C9" w:rsidRDefault="0063034C">
      <w:pPr>
        <w:spacing w:line="200" w:lineRule="atLeast"/>
        <w:ind w:left="7253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48B657BE" wp14:editId="1650F908">
            <wp:extent cx="2129184" cy="137160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18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931D" w14:textId="77777777" w:rsidR="00DC74C9" w:rsidRDefault="0063034C">
      <w:pPr>
        <w:tabs>
          <w:tab w:val="left" w:pos="7252"/>
        </w:tabs>
        <w:spacing w:before="7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b/>
          <w:color w:val="231F20"/>
          <w:sz w:val="14"/>
        </w:rPr>
        <w:tab/>
      </w:r>
      <w:r>
        <w:rPr>
          <w:rFonts w:ascii="Theinhardt Bold"/>
          <w:b/>
          <w:color w:val="231F20"/>
          <w:position w:val="2"/>
          <w:sz w:val="14"/>
        </w:rPr>
        <w:t>2</w:t>
      </w:r>
    </w:p>
    <w:p w14:paraId="1A547A82" w14:textId="77777777" w:rsidR="00DC74C9" w:rsidRDefault="00DC74C9">
      <w:pPr>
        <w:rPr>
          <w:rFonts w:ascii="Theinhardt Bold" w:eastAsia="Theinhardt Bold" w:hAnsi="Theinhardt Bold" w:cs="Theinhardt Bold"/>
          <w:b/>
          <w:bCs/>
          <w:sz w:val="13"/>
          <w:szCs w:val="13"/>
        </w:rPr>
      </w:pPr>
    </w:p>
    <w:p w14:paraId="35EC7ED5" w14:textId="77777777" w:rsidR="00DC74C9" w:rsidRDefault="00DC74C9">
      <w:pPr>
        <w:rPr>
          <w:rFonts w:ascii="Theinhardt Bold" w:eastAsia="Theinhardt Bold" w:hAnsi="Theinhardt Bold" w:cs="Theinhardt Bold"/>
          <w:sz w:val="13"/>
          <w:szCs w:val="13"/>
        </w:rPr>
        <w:sectPr w:rsidR="00DC74C9">
          <w:type w:val="continuous"/>
          <w:pgSz w:w="11910" w:h="16840"/>
          <w:pgMar w:top="840" w:right="440" w:bottom="280" w:left="740" w:header="720" w:footer="720" w:gutter="0"/>
          <w:cols w:space="720"/>
        </w:sectPr>
      </w:pPr>
    </w:p>
    <w:p w14:paraId="4CCA854C" w14:textId="77777777" w:rsidR="00DC74C9" w:rsidRDefault="0063034C">
      <w:pPr>
        <w:numPr>
          <w:ilvl w:val="0"/>
          <w:numId w:val="1"/>
        </w:numPr>
        <w:tabs>
          <w:tab w:val="left" w:pos="338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Die </w:t>
      </w:r>
      <w:r>
        <w:rPr>
          <w:rFonts w:ascii="Theinhardt Bold" w:hAnsi="Theinhardt Bold"/>
          <w:b/>
          <w:color w:val="231F20"/>
          <w:spacing w:val="-1"/>
          <w:sz w:val="14"/>
        </w:rPr>
        <w:t>vorbildliche</w:t>
      </w:r>
      <w:r>
        <w:rPr>
          <w:rFonts w:ascii="Theinhardt Bold" w:hAnsi="Theinhardt Bold"/>
          <w:b/>
          <w:color w:val="231F20"/>
          <w:sz w:val="14"/>
        </w:rPr>
        <w:t xml:space="preserve"> Dämmung des </w:t>
      </w:r>
      <w:r>
        <w:rPr>
          <w:rFonts w:ascii="Theinhardt Bold" w:hAnsi="Theinhardt Bold"/>
          <w:b/>
          <w:color w:val="231F20"/>
          <w:spacing w:val="-1"/>
          <w:sz w:val="14"/>
        </w:rPr>
        <w:t>PEB-EFH</w:t>
      </w:r>
      <w:r>
        <w:rPr>
          <w:rFonts w:ascii="Theinhardt Bold" w:hAnsi="Theinhardt Bold"/>
          <w:b/>
          <w:color w:val="231F20"/>
          <w:sz w:val="14"/>
        </w:rPr>
        <w:t xml:space="preserve"> Oldani/</w:t>
      </w:r>
      <w:r>
        <w:rPr>
          <w:rFonts w:ascii="Theinhardt Bold" w:hAnsi="Theinhardt Bold"/>
          <w:b/>
          <w:color w:val="231F20"/>
          <w:spacing w:val="4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Wermelinger</w:t>
      </w:r>
      <w:r>
        <w:rPr>
          <w:rFonts w:ascii="Theinhardt Bold" w:hAnsi="Theinhardt Bold"/>
          <w:b/>
          <w:color w:val="231F20"/>
          <w:sz w:val="14"/>
        </w:rPr>
        <w:t xml:space="preserve"> sorgt für eine </w:t>
      </w:r>
      <w:r>
        <w:rPr>
          <w:rFonts w:ascii="Theinhardt Bold" w:hAnsi="Theinhardt Bold"/>
          <w:b/>
          <w:color w:val="231F20"/>
          <w:spacing w:val="-1"/>
          <w:sz w:val="14"/>
        </w:rPr>
        <w:t>Eigenenergieversor-</w:t>
      </w:r>
      <w:r>
        <w:rPr>
          <w:rFonts w:ascii="Theinhardt Bold" w:hAnsi="Theinhardt Bold"/>
          <w:b/>
          <w:color w:val="231F20"/>
          <w:spacing w:val="5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gung von 252%.</w:t>
      </w:r>
    </w:p>
    <w:p w14:paraId="10689F3C" w14:textId="77777777" w:rsidR="00DC74C9" w:rsidRDefault="0063034C">
      <w:pPr>
        <w:numPr>
          <w:ilvl w:val="0"/>
          <w:numId w:val="1"/>
        </w:numPr>
        <w:tabs>
          <w:tab w:val="left" w:pos="338"/>
        </w:tabs>
        <w:spacing w:before="76" w:line="160" w:lineRule="exact"/>
        <w:ind w:right="397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ganzflächig integrierte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21.4 kW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eastAsia="Theinhardt Bold" w:hAnsi="Theinhardt Bold" w:cs="Theinhardt Bold"/>
          <w:b/>
          <w:bCs/>
          <w:color w:val="231F20"/>
          <w:spacing w:val="2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PV-Anlage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fast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22’000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Solar-</w:t>
      </w:r>
    </w:p>
    <w:p w14:paraId="18B1867C" w14:textId="77777777" w:rsidR="00DC74C9" w:rsidRDefault="0063034C">
      <w:pPr>
        <w:spacing w:line="177" w:lineRule="exact"/>
        <w:ind w:left="33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strom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und einen Überschuss von 13’300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kWh/a.</w:t>
      </w:r>
    </w:p>
    <w:p w14:paraId="6D80F3AC" w14:textId="77777777" w:rsidR="00DC74C9" w:rsidRDefault="00DC74C9">
      <w:pPr>
        <w:spacing w:line="177" w:lineRule="exact"/>
        <w:rPr>
          <w:rFonts w:ascii="Theinhardt Bold" w:eastAsia="Theinhardt Bold" w:hAnsi="Theinhardt Bold" w:cs="Theinhardt Bold"/>
          <w:sz w:val="14"/>
          <w:szCs w:val="14"/>
        </w:rPr>
        <w:sectPr w:rsidR="00DC74C9">
          <w:type w:val="continuous"/>
          <w:pgSz w:w="11910" w:h="16840"/>
          <w:pgMar w:top="840" w:right="440" w:bottom="280" w:left="740" w:header="720" w:footer="720" w:gutter="0"/>
          <w:cols w:num="2" w:space="720" w:equalWidth="0">
            <w:col w:w="3436" w:space="136"/>
            <w:col w:w="7158"/>
          </w:cols>
        </w:sectPr>
      </w:pPr>
    </w:p>
    <w:p w14:paraId="339D523E" w14:textId="77777777" w:rsidR="00DC74C9" w:rsidRDefault="00DC74C9">
      <w:pPr>
        <w:spacing w:before="2"/>
        <w:rPr>
          <w:rFonts w:ascii="Theinhardt Bold" w:eastAsia="Theinhardt Bold" w:hAnsi="Theinhardt Bold" w:cs="Theinhardt Bold"/>
          <w:b/>
          <w:bCs/>
          <w:sz w:val="19"/>
          <w:szCs w:val="19"/>
        </w:rPr>
      </w:pPr>
    </w:p>
    <w:p w14:paraId="3568D483" w14:textId="77777777" w:rsidR="00DC74C9" w:rsidRDefault="0063034C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51</w:t>
      </w:r>
    </w:p>
    <w:sectPr w:rsidR="00DC74C9">
      <w:type w:val="continuous"/>
      <w:pgSz w:w="11910" w:h="16840"/>
      <w:pgMar w:top="840" w:right="4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BE5D7E"/>
    <w:multiLevelType w:val="hybridMultilevel"/>
    <w:tmpl w:val="FC421FAA"/>
    <w:lvl w:ilvl="0" w:tplc="068452DC">
      <w:start w:val="1"/>
      <w:numFmt w:val="decimal"/>
      <w:lvlText w:val="%1"/>
      <w:lvlJc w:val="left"/>
      <w:pPr>
        <w:ind w:left="337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28CA3336">
      <w:start w:val="1"/>
      <w:numFmt w:val="bullet"/>
      <w:lvlText w:val="•"/>
      <w:lvlJc w:val="left"/>
      <w:pPr>
        <w:ind w:left="647" w:hanging="227"/>
      </w:pPr>
      <w:rPr>
        <w:rFonts w:hint="default"/>
      </w:rPr>
    </w:lvl>
    <w:lvl w:ilvl="2" w:tplc="E54E94D0">
      <w:start w:val="1"/>
      <w:numFmt w:val="bullet"/>
      <w:lvlText w:val="•"/>
      <w:lvlJc w:val="left"/>
      <w:pPr>
        <w:ind w:left="956" w:hanging="227"/>
      </w:pPr>
      <w:rPr>
        <w:rFonts w:hint="default"/>
      </w:rPr>
    </w:lvl>
    <w:lvl w:ilvl="3" w:tplc="55F2A80C">
      <w:start w:val="1"/>
      <w:numFmt w:val="bullet"/>
      <w:lvlText w:val="•"/>
      <w:lvlJc w:val="left"/>
      <w:pPr>
        <w:ind w:left="1266" w:hanging="227"/>
      </w:pPr>
      <w:rPr>
        <w:rFonts w:hint="default"/>
      </w:rPr>
    </w:lvl>
    <w:lvl w:ilvl="4" w:tplc="558EAA3A">
      <w:start w:val="1"/>
      <w:numFmt w:val="bullet"/>
      <w:lvlText w:val="•"/>
      <w:lvlJc w:val="left"/>
      <w:pPr>
        <w:ind w:left="1576" w:hanging="227"/>
      </w:pPr>
      <w:rPr>
        <w:rFonts w:hint="default"/>
      </w:rPr>
    </w:lvl>
    <w:lvl w:ilvl="5" w:tplc="0122B3EA">
      <w:start w:val="1"/>
      <w:numFmt w:val="bullet"/>
      <w:lvlText w:val="•"/>
      <w:lvlJc w:val="left"/>
      <w:pPr>
        <w:ind w:left="1886" w:hanging="227"/>
      </w:pPr>
      <w:rPr>
        <w:rFonts w:hint="default"/>
      </w:rPr>
    </w:lvl>
    <w:lvl w:ilvl="6" w:tplc="CFD82C90">
      <w:start w:val="1"/>
      <w:numFmt w:val="bullet"/>
      <w:lvlText w:val="•"/>
      <w:lvlJc w:val="left"/>
      <w:pPr>
        <w:ind w:left="2196" w:hanging="227"/>
      </w:pPr>
      <w:rPr>
        <w:rFonts w:hint="default"/>
      </w:rPr>
    </w:lvl>
    <w:lvl w:ilvl="7" w:tplc="ED58E274">
      <w:start w:val="1"/>
      <w:numFmt w:val="bullet"/>
      <w:lvlText w:val="•"/>
      <w:lvlJc w:val="left"/>
      <w:pPr>
        <w:ind w:left="2505" w:hanging="227"/>
      </w:pPr>
      <w:rPr>
        <w:rFonts w:hint="default"/>
      </w:rPr>
    </w:lvl>
    <w:lvl w:ilvl="8" w:tplc="418061CE">
      <w:start w:val="1"/>
      <w:numFmt w:val="bullet"/>
      <w:lvlText w:val="•"/>
      <w:lvlJc w:val="left"/>
      <w:pPr>
        <w:ind w:left="2815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74C9"/>
    <w:rsid w:val="0063034C"/>
    <w:rsid w:val="00DC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;"/>
  <w14:docId w14:val="164C9267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75"/>
      <w:ind w:left="110"/>
    </w:pPr>
    <w:rPr>
      <w:rFonts w:ascii="Theinhardt Regular" w:eastAsia="Theinhardt Regular" w:hAnsi="Theinhardt Regular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oldani@architekt-oldani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542</Words>
  <Characters>3421</Characters>
  <Application>Microsoft Office Word</Application>
  <DocSecurity>0</DocSecurity>
  <Lines>28</Lines>
  <Paragraphs>7</Paragraphs>
  <ScaleCrop>false</ScaleCrop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2020-10-07T11:08:00Z</dcterms:created>
  <dcterms:modified xsi:type="dcterms:W3CDTF">2020-10-07T09:09:00Z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