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8E5ACD" w14:textId="77777777" w:rsidR="00714C9B" w:rsidRDefault="003F6FBD">
      <w:pPr>
        <w:pStyle w:val="berschrift1"/>
        <w:tabs>
          <w:tab w:val="left" w:pos="2553"/>
        </w:tabs>
        <w:spacing w:line="230" w:lineRule="exact"/>
        <w:ind w:left="114"/>
        <w:rPr>
          <w:rFonts w:ascii="Theinhardt Black" w:eastAsia="Theinhardt Black" w:hAnsi="Theinhardt Black" w:cs="Theinhardt Black"/>
          <w:b w:val="0"/>
          <w:bCs w:val="0"/>
        </w:rPr>
      </w:pPr>
      <w:r>
        <w:pict w14:anchorId="0455E923">
          <v:group id="_x0000_s1056" style="position:absolute;left:0;text-align:left;margin-left:28.9pt;margin-top:13.65pt;width:.1pt;height:.1pt;z-index:-6088;mso-position-horizontal-relative:page" coordorigin="578,273" coordsize="2,2">
            <v:shape id="_x0000_s1057" style="position:absolute;left:578;top:273;width:2;height:2" coordorigin="578,273" coordsize="0,0" path="m578,273r,e" filled="f" strokecolor="#231f20" strokeweight=".14994mm">
              <v:path arrowok="t"/>
            </v:shape>
            <w10:wrap anchorx="page"/>
          </v:group>
        </w:pict>
      </w:r>
      <w:r>
        <w:pict w14:anchorId="6EDD91DE">
          <v:group id="_x0000_s1054" style="position:absolute;left:0;text-align:left;margin-left:151.1pt;margin-top:13.65pt;width:.1pt;height:.1pt;z-index:1192;mso-position-horizontal-relative:page" coordorigin="3022,273" coordsize="2,2">
            <v:shape id="_x0000_s1055" style="position:absolute;left:3022;top:273;width:2;height:2" coordorigin="3022,273" coordsize="0,0" path="m3022,273r,e" filled="f" strokecolor="#231f20" strokeweight=".14994mm">
              <v:path arrowok="t"/>
            </v:shape>
            <w10:wrap anchorx="page"/>
          </v:group>
        </w:pict>
      </w:r>
      <w:r>
        <w:rPr>
          <w:rFonts w:ascii="Theinhardt Black"/>
          <w:color w:val="231F20"/>
          <w:spacing w:val="1"/>
          <w:u w:val="dotted" w:color="231F20"/>
        </w:rPr>
        <w:t>Kategorie</w:t>
      </w:r>
      <w:r>
        <w:rPr>
          <w:rFonts w:ascii="Theinhardt Black"/>
          <w:color w:val="231F20"/>
          <w:spacing w:val="-1"/>
          <w:u w:val="dotted" w:color="231F20"/>
        </w:rPr>
        <w:t xml:space="preserve"> </w:t>
      </w:r>
      <w:r>
        <w:rPr>
          <w:rFonts w:ascii="Theinhardt Black"/>
          <w:color w:val="231F20"/>
          <w:u w:val="dotted" w:color="231F20"/>
        </w:rPr>
        <w:t xml:space="preserve">B </w:t>
      </w:r>
      <w:r>
        <w:rPr>
          <w:rFonts w:ascii="Theinhardt Black"/>
          <w:color w:val="231F20"/>
          <w:u w:val="dotted" w:color="231F20"/>
        </w:rPr>
        <w:tab/>
      </w:r>
      <w:r>
        <w:rPr>
          <w:rFonts w:ascii="Theinhardt Black"/>
          <w:color w:val="231F20"/>
          <w:spacing w:val="25"/>
        </w:rPr>
        <w:t xml:space="preserve"> </w:t>
      </w:r>
      <w:r>
        <w:rPr>
          <w:rFonts w:ascii="Theinhardt Black"/>
          <w:color w:val="231F20"/>
          <w:spacing w:val="1"/>
          <w:u w:val="dotted" w:color="231F20"/>
        </w:rPr>
        <w:t>PlusEnergieBauten</w:t>
      </w:r>
      <w:r>
        <w:rPr>
          <w:rFonts w:ascii="Theinhardt Black"/>
          <w:color w:val="231F20"/>
          <w:u w:val="dotted" w:color="231F20"/>
        </w:rPr>
        <w:t xml:space="preserve"> </w:t>
      </w:r>
      <w:r>
        <w:rPr>
          <w:rFonts w:ascii="Theinhardt Black"/>
          <w:color w:val="231F20"/>
          <w:u w:val="dotted" w:color="231F20"/>
        </w:rPr>
        <w:tab/>
      </w:r>
    </w:p>
    <w:p w14:paraId="043E4152" w14:textId="77777777" w:rsidR="00714C9B" w:rsidRDefault="003F6FBD">
      <w:pPr>
        <w:tabs>
          <w:tab w:val="left" w:pos="2557"/>
        </w:tabs>
        <w:spacing w:line="20" w:lineRule="atLeast"/>
        <w:ind w:left="114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/>
          <w:sz w:val="2"/>
        </w:rPr>
      </w:r>
      <w:r>
        <w:rPr>
          <w:rFonts w:ascii="Theinhardt Black"/>
          <w:sz w:val="2"/>
        </w:rPr>
        <w:pict w14:anchorId="27771130">
          <v:group id="_x0000_s1051" style="width:.45pt;height:.45pt;mso-position-horizontal-relative:char;mso-position-vertical-relative:line" coordsize="9,9">
            <v:group id="_x0000_s1052" style="position:absolute;left:4;top:4;width:2;height:2" coordorigin="4,4" coordsize="2,2">
              <v:shape id="_x0000_s1053" style="position:absolute;left:4;top:4;width:2;height:2" coordorigin="4,4" coordsize="0,0" path="m4,4r,e" filled="f" strokecolor="#231f20" strokeweight=".14994mm">
                <v:path arrowok="t"/>
              </v:shape>
            </v:group>
            <w10:anchorlock/>
          </v:group>
        </w:pict>
      </w:r>
      <w:r>
        <w:rPr>
          <w:rFonts w:ascii="Theinhardt Black"/>
          <w:sz w:val="2"/>
        </w:rPr>
        <w:tab/>
      </w:r>
      <w:r>
        <w:rPr>
          <w:rFonts w:ascii="Theinhardt Black"/>
          <w:sz w:val="2"/>
        </w:rPr>
      </w:r>
      <w:r>
        <w:rPr>
          <w:rFonts w:ascii="Theinhardt Black"/>
          <w:sz w:val="2"/>
        </w:rPr>
        <w:pict w14:anchorId="795C2364">
          <v:group id="_x0000_s1048" style="width:.45pt;height:.45pt;mso-position-horizontal-relative:char;mso-position-vertical-relative:line" coordsize="9,9">
            <v:group id="_x0000_s1049" style="position:absolute;left:4;top:4;width:2;height:2" coordorigin="4,4" coordsize="2,2">
              <v:shape id="_x0000_s1050" style="position:absolute;left:4;top:4;width:2;height:2" coordorigin="4,4" coordsize="0,0" path="m4,4r,e" filled="f" strokecolor="#231f20" strokeweight=".14994mm">
                <v:path arrowok="t"/>
              </v:shape>
            </v:group>
            <w10:anchorlock/>
          </v:group>
        </w:pict>
      </w:r>
    </w:p>
    <w:p w14:paraId="635C87E8" w14:textId="77777777" w:rsidR="00714C9B" w:rsidRDefault="003F6FBD">
      <w:pPr>
        <w:pStyle w:val="Textkrper"/>
        <w:ind w:left="114"/>
      </w:pPr>
      <w:r>
        <w:pict w14:anchorId="5EC6AB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left:0;text-align:left;margin-left:28.35pt;margin-top:27.55pt;width:82.2pt;height:60.2pt;z-index:1144;mso-position-horizontal-relative:page">
            <v:imagedata r:id="rId5" o:title=""/>
            <w10:wrap anchorx="page"/>
          </v:shape>
        </w:pict>
      </w:r>
      <w:r>
        <w:rPr>
          <w:color w:val="231F20"/>
        </w:rPr>
        <w:t>2.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Norman </w:t>
      </w:r>
      <w:r>
        <w:rPr>
          <w:color w:val="231F20"/>
          <w:spacing w:val="-1"/>
        </w:rPr>
        <w:t>Foster</w:t>
      </w:r>
      <w:r>
        <w:rPr>
          <w:color w:val="231F20"/>
        </w:rPr>
        <w:t xml:space="preserve"> Solar </w:t>
      </w:r>
      <w:r>
        <w:rPr>
          <w:color w:val="231F20"/>
          <w:spacing w:val="-3"/>
        </w:rPr>
        <w:t>Award</w:t>
      </w:r>
    </w:p>
    <w:p w14:paraId="6FD6B40F" w14:textId="77777777" w:rsidR="00714C9B" w:rsidRDefault="003F6FBD">
      <w:pPr>
        <w:pStyle w:val="berschrift1"/>
        <w:spacing w:line="230" w:lineRule="exact"/>
        <w:ind w:right="107"/>
        <w:jc w:val="both"/>
        <w:rPr>
          <w:b w:val="0"/>
          <w:bCs w:val="0"/>
        </w:rPr>
      </w:pPr>
      <w:r>
        <w:rPr>
          <w:b w:val="0"/>
          <w:bCs w:val="0"/>
        </w:rPr>
        <w:br w:type="column"/>
      </w:r>
      <w:r>
        <w:rPr>
          <w:color w:val="0C1C23"/>
        </w:rPr>
        <w:t>Der</w:t>
      </w:r>
      <w:r>
        <w:rPr>
          <w:color w:val="0C1C23"/>
          <w:spacing w:val="41"/>
        </w:rPr>
        <w:t xml:space="preserve"> </w:t>
      </w:r>
      <w:r>
        <w:rPr>
          <w:color w:val="0C1C23"/>
          <w:spacing w:val="-1"/>
        </w:rPr>
        <w:t>PlusEnergie-Holzbau</w:t>
      </w:r>
      <w:r>
        <w:rPr>
          <w:color w:val="0C1C23"/>
          <w:spacing w:val="41"/>
        </w:rPr>
        <w:t xml:space="preserve"> </w:t>
      </w:r>
      <w:r>
        <w:rPr>
          <w:color w:val="0C1C23"/>
          <w:spacing w:val="-1"/>
        </w:rPr>
        <w:t>Moosweg</w:t>
      </w:r>
      <w:r>
        <w:rPr>
          <w:color w:val="0C1C23"/>
          <w:spacing w:val="41"/>
        </w:rPr>
        <w:t xml:space="preserve"> </w:t>
      </w:r>
      <w:r>
        <w:rPr>
          <w:color w:val="0C1C23"/>
          <w:spacing w:val="-1"/>
        </w:rPr>
        <w:t>in</w:t>
      </w:r>
      <w:r>
        <w:rPr>
          <w:color w:val="0C1C23"/>
          <w:spacing w:val="41"/>
        </w:rPr>
        <w:t xml:space="preserve"> </w:t>
      </w:r>
      <w:r>
        <w:rPr>
          <w:color w:val="0C1C23"/>
        </w:rPr>
        <w:t>Riehen/BS</w:t>
      </w:r>
      <w:r>
        <w:rPr>
          <w:color w:val="0C1C23"/>
          <w:spacing w:val="41"/>
        </w:rPr>
        <w:t xml:space="preserve"> </w:t>
      </w:r>
      <w:r>
        <w:rPr>
          <w:color w:val="0C1C23"/>
          <w:spacing w:val="-2"/>
        </w:rPr>
        <w:t>zeigt</w:t>
      </w:r>
      <w:r>
        <w:rPr>
          <w:color w:val="0C1C23"/>
          <w:spacing w:val="41"/>
        </w:rPr>
        <w:t xml:space="preserve"> </w:t>
      </w:r>
      <w:r>
        <w:rPr>
          <w:color w:val="0C1C23"/>
          <w:spacing w:val="-1"/>
        </w:rPr>
        <w:t>das</w:t>
      </w:r>
      <w:r>
        <w:rPr>
          <w:color w:val="0C1C23"/>
          <w:spacing w:val="41"/>
        </w:rPr>
        <w:t xml:space="preserve"> </w:t>
      </w:r>
      <w:r>
        <w:rPr>
          <w:color w:val="0C1C23"/>
          <w:spacing w:val="-2"/>
        </w:rPr>
        <w:t>funktionierende</w:t>
      </w:r>
      <w:r>
        <w:rPr>
          <w:color w:val="0C1C23"/>
          <w:spacing w:val="41"/>
        </w:rPr>
        <w:t xml:space="preserve"> </w:t>
      </w:r>
      <w:r>
        <w:rPr>
          <w:color w:val="0C1C23"/>
          <w:spacing w:val="-2"/>
        </w:rPr>
        <w:t>Zusammenspiel</w:t>
      </w:r>
      <w:r>
        <w:rPr>
          <w:color w:val="0C1C23"/>
          <w:spacing w:val="80"/>
        </w:rPr>
        <w:t xml:space="preserve"> </w:t>
      </w:r>
      <w:r>
        <w:rPr>
          <w:color w:val="0C1C23"/>
          <w:spacing w:val="-1"/>
        </w:rPr>
        <w:t>von</w:t>
      </w:r>
      <w:r>
        <w:rPr>
          <w:color w:val="0C1C23"/>
          <w:spacing w:val="25"/>
        </w:rPr>
        <w:t xml:space="preserve"> </w:t>
      </w:r>
      <w:r>
        <w:rPr>
          <w:color w:val="0C1C23"/>
          <w:spacing w:val="-1"/>
        </w:rPr>
        <w:t>Architektur</w:t>
      </w:r>
      <w:r>
        <w:rPr>
          <w:color w:val="0C1C23"/>
          <w:spacing w:val="26"/>
        </w:rPr>
        <w:t xml:space="preserve"> </w:t>
      </w:r>
      <w:r>
        <w:rPr>
          <w:color w:val="0C1C23"/>
          <w:spacing w:val="-1"/>
        </w:rPr>
        <w:t>und</w:t>
      </w:r>
      <w:r>
        <w:rPr>
          <w:color w:val="0C1C23"/>
          <w:spacing w:val="26"/>
        </w:rPr>
        <w:t xml:space="preserve"> </w:t>
      </w:r>
      <w:r>
        <w:rPr>
          <w:color w:val="0C1C23"/>
          <w:spacing w:val="-1"/>
        </w:rPr>
        <w:t>Nachhaltigkeit.</w:t>
      </w:r>
      <w:r>
        <w:rPr>
          <w:color w:val="0C1C23"/>
          <w:spacing w:val="19"/>
        </w:rPr>
        <w:t xml:space="preserve"> </w:t>
      </w:r>
      <w:r>
        <w:rPr>
          <w:color w:val="0C1C23"/>
          <w:spacing w:val="-1"/>
        </w:rPr>
        <w:t>Eine</w:t>
      </w:r>
      <w:r>
        <w:rPr>
          <w:color w:val="0C1C23"/>
          <w:spacing w:val="25"/>
        </w:rPr>
        <w:t xml:space="preserve"> </w:t>
      </w:r>
      <w:r>
        <w:rPr>
          <w:color w:val="0C1C23"/>
          <w:spacing w:val="-1"/>
        </w:rPr>
        <w:t>vollflächig</w:t>
      </w:r>
      <w:r>
        <w:rPr>
          <w:color w:val="0C1C23"/>
          <w:spacing w:val="26"/>
        </w:rPr>
        <w:t xml:space="preserve"> </w:t>
      </w:r>
      <w:r>
        <w:rPr>
          <w:color w:val="0C1C23"/>
          <w:spacing w:val="-1"/>
        </w:rPr>
        <w:t>dachintegrierte</w:t>
      </w:r>
      <w:r>
        <w:rPr>
          <w:color w:val="0C1C23"/>
          <w:spacing w:val="26"/>
        </w:rPr>
        <w:t xml:space="preserve"> </w:t>
      </w:r>
      <w:r>
        <w:rPr>
          <w:color w:val="0C1C23"/>
          <w:spacing w:val="-1"/>
        </w:rPr>
        <w:t>20.8</w:t>
      </w:r>
      <w:r>
        <w:rPr>
          <w:color w:val="0C1C23"/>
          <w:spacing w:val="26"/>
        </w:rPr>
        <w:t xml:space="preserve"> </w:t>
      </w:r>
      <w:r>
        <w:rPr>
          <w:color w:val="0C1C23"/>
          <w:spacing w:val="-1"/>
        </w:rPr>
        <w:t>kW</w:t>
      </w:r>
      <w:r>
        <w:rPr>
          <w:color w:val="0C1C23"/>
          <w:spacing w:val="26"/>
        </w:rPr>
        <w:t xml:space="preserve"> </w:t>
      </w:r>
      <w:r>
        <w:rPr>
          <w:color w:val="0C1C23"/>
          <w:spacing w:val="-1"/>
        </w:rPr>
        <w:t>starke</w:t>
      </w:r>
      <w:r>
        <w:rPr>
          <w:color w:val="0C1C23"/>
          <w:spacing w:val="25"/>
        </w:rPr>
        <w:t xml:space="preserve"> </w:t>
      </w:r>
      <w:r>
        <w:rPr>
          <w:color w:val="0C1C23"/>
          <w:spacing w:val="-1"/>
        </w:rPr>
        <w:t>PV-Anla-</w:t>
      </w:r>
      <w:r>
        <w:rPr>
          <w:color w:val="0C1C23"/>
          <w:spacing w:val="75"/>
        </w:rPr>
        <w:t xml:space="preserve"> </w:t>
      </w:r>
      <w:r>
        <w:rPr>
          <w:color w:val="0C1C23"/>
          <w:spacing w:val="-1"/>
        </w:rPr>
        <w:t>ge</w:t>
      </w:r>
      <w:r>
        <w:rPr>
          <w:color w:val="0C1C23"/>
          <w:spacing w:val="15"/>
        </w:rPr>
        <w:t xml:space="preserve"> </w:t>
      </w:r>
      <w:r>
        <w:rPr>
          <w:color w:val="0C1C23"/>
          <w:spacing w:val="-1"/>
        </w:rPr>
        <w:t>erzeugt</w:t>
      </w:r>
      <w:r>
        <w:rPr>
          <w:color w:val="0C1C23"/>
          <w:spacing w:val="15"/>
        </w:rPr>
        <w:t xml:space="preserve"> </w:t>
      </w:r>
      <w:r>
        <w:rPr>
          <w:color w:val="0C1C23"/>
          <w:spacing w:val="-1"/>
        </w:rPr>
        <w:t>jährlich</w:t>
      </w:r>
      <w:r>
        <w:rPr>
          <w:color w:val="0C1C23"/>
          <w:spacing w:val="15"/>
        </w:rPr>
        <w:t xml:space="preserve"> </w:t>
      </w:r>
      <w:r>
        <w:rPr>
          <w:color w:val="0C1C23"/>
          <w:spacing w:val="-1"/>
        </w:rPr>
        <w:t>21’500</w:t>
      </w:r>
      <w:r>
        <w:rPr>
          <w:color w:val="0C1C23"/>
          <w:spacing w:val="15"/>
        </w:rPr>
        <w:t xml:space="preserve"> </w:t>
      </w:r>
      <w:r>
        <w:rPr>
          <w:color w:val="0C1C23"/>
          <w:spacing w:val="-1"/>
        </w:rPr>
        <w:t>kWh</w:t>
      </w:r>
      <w:r>
        <w:rPr>
          <w:color w:val="0C1C23"/>
          <w:spacing w:val="15"/>
        </w:rPr>
        <w:t xml:space="preserve"> </w:t>
      </w:r>
      <w:r>
        <w:rPr>
          <w:color w:val="0C1C23"/>
          <w:spacing w:val="-1"/>
        </w:rPr>
        <w:t>Strom.</w:t>
      </w:r>
      <w:r>
        <w:rPr>
          <w:color w:val="0C1C23"/>
          <w:spacing w:val="8"/>
        </w:rPr>
        <w:t xml:space="preserve"> </w:t>
      </w:r>
      <w:r>
        <w:rPr>
          <w:color w:val="0C1C23"/>
        </w:rPr>
        <w:t>Der</w:t>
      </w:r>
      <w:r>
        <w:rPr>
          <w:color w:val="0C1C23"/>
          <w:spacing w:val="15"/>
        </w:rPr>
        <w:t xml:space="preserve"> </w:t>
      </w:r>
      <w:r>
        <w:rPr>
          <w:color w:val="0C1C23"/>
          <w:spacing w:val="-1"/>
        </w:rPr>
        <w:t>Strombedarf</w:t>
      </w:r>
      <w:r>
        <w:rPr>
          <w:color w:val="0C1C23"/>
          <w:spacing w:val="15"/>
        </w:rPr>
        <w:t xml:space="preserve"> </w:t>
      </w:r>
      <w:r>
        <w:rPr>
          <w:color w:val="0C1C23"/>
          <w:spacing w:val="-1"/>
        </w:rPr>
        <w:t>des</w:t>
      </w:r>
      <w:r>
        <w:rPr>
          <w:color w:val="0C1C23"/>
          <w:spacing w:val="15"/>
        </w:rPr>
        <w:t xml:space="preserve"> </w:t>
      </w:r>
      <w:r>
        <w:rPr>
          <w:color w:val="0C1C23"/>
          <w:spacing w:val="-1"/>
        </w:rPr>
        <w:t>Einfamilienhauses</w:t>
      </w:r>
      <w:r>
        <w:rPr>
          <w:color w:val="0C1C23"/>
          <w:spacing w:val="15"/>
        </w:rPr>
        <w:t xml:space="preserve"> </w:t>
      </w:r>
      <w:r>
        <w:rPr>
          <w:color w:val="0C1C23"/>
          <w:spacing w:val="-1"/>
        </w:rPr>
        <w:t>beträgt</w:t>
      </w:r>
      <w:r>
        <w:rPr>
          <w:color w:val="0C1C23"/>
          <w:spacing w:val="15"/>
        </w:rPr>
        <w:t xml:space="preserve"> </w:t>
      </w:r>
      <w:r>
        <w:rPr>
          <w:color w:val="0C1C23"/>
          <w:spacing w:val="-1"/>
        </w:rPr>
        <w:t>6’500</w:t>
      </w:r>
      <w:r>
        <w:rPr>
          <w:color w:val="0C1C23"/>
          <w:spacing w:val="54"/>
        </w:rPr>
        <w:t xml:space="preserve"> </w:t>
      </w:r>
      <w:r>
        <w:rPr>
          <w:color w:val="0C1C23"/>
          <w:spacing w:val="-1"/>
        </w:rPr>
        <w:t>kWh</w:t>
      </w:r>
      <w:r>
        <w:rPr>
          <w:color w:val="0C1C23"/>
          <w:spacing w:val="23"/>
        </w:rPr>
        <w:t xml:space="preserve"> </w:t>
      </w:r>
      <w:r>
        <w:rPr>
          <w:color w:val="0C1C23"/>
          <w:spacing w:val="-1"/>
        </w:rPr>
        <w:t>pro</w:t>
      </w:r>
      <w:r>
        <w:rPr>
          <w:color w:val="0C1C23"/>
          <w:spacing w:val="23"/>
        </w:rPr>
        <w:t xml:space="preserve"> </w:t>
      </w:r>
      <w:r>
        <w:rPr>
          <w:color w:val="0C1C23"/>
          <w:spacing w:val="-5"/>
        </w:rPr>
        <w:t>Jahr.</w:t>
      </w:r>
      <w:r>
        <w:rPr>
          <w:color w:val="0C1C23"/>
          <w:spacing w:val="14"/>
        </w:rPr>
        <w:t xml:space="preserve"> </w:t>
      </w:r>
      <w:r>
        <w:rPr>
          <w:color w:val="0C1C23"/>
          <w:spacing w:val="-2"/>
        </w:rPr>
        <w:t>Daraus</w:t>
      </w:r>
      <w:r>
        <w:rPr>
          <w:color w:val="0C1C23"/>
          <w:spacing w:val="21"/>
        </w:rPr>
        <w:t xml:space="preserve"> </w:t>
      </w:r>
      <w:r>
        <w:rPr>
          <w:color w:val="0C1C23"/>
          <w:spacing w:val="-1"/>
        </w:rPr>
        <w:t>resultiert</w:t>
      </w:r>
      <w:r>
        <w:rPr>
          <w:color w:val="0C1C23"/>
          <w:spacing w:val="21"/>
        </w:rPr>
        <w:t xml:space="preserve"> </w:t>
      </w:r>
      <w:r>
        <w:rPr>
          <w:color w:val="0C1C23"/>
          <w:spacing w:val="-2"/>
        </w:rPr>
        <w:t>ein</w:t>
      </w:r>
      <w:r>
        <w:rPr>
          <w:color w:val="0C1C23"/>
          <w:spacing w:val="21"/>
        </w:rPr>
        <w:t xml:space="preserve"> </w:t>
      </w:r>
      <w:r>
        <w:rPr>
          <w:color w:val="0C1C23"/>
          <w:spacing w:val="-2"/>
        </w:rPr>
        <w:t>jährlicher</w:t>
      </w:r>
      <w:r>
        <w:rPr>
          <w:color w:val="0C1C23"/>
          <w:spacing w:val="21"/>
        </w:rPr>
        <w:t xml:space="preserve"> </w:t>
      </w:r>
      <w:r>
        <w:rPr>
          <w:color w:val="0C1C23"/>
          <w:spacing w:val="-2"/>
        </w:rPr>
        <w:t>Solarstromüberschuss</w:t>
      </w:r>
      <w:r>
        <w:rPr>
          <w:color w:val="0C1C23"/>
          <w:spacing w:val="21"/>
        </w:rPr>
        <w:t xml:space="preserve"> </w:t>
      </w:r>
      <w:r>
        <w:rPr>
          <w:color w:val="0C1C23"/>
          <w:spacing w:val="-2"/>
        </w:rPr>
        <w:t>von</w:t>
      </w:r>
      <w:r>
        <w:rPr>
          <w:color w:val="0C1C23"/>
          <w:spacing w:val="21"/>
        </w:rPr>
        <w:t xml:space="preserve"> </w:t>
      </w:r>
      <w:r>
        <w:rPr>
          <w:color w:val="0C1C23"/>
          <w:spacing w:val="-2"/>
        </w:rPr>
        <w:t>15’000</w:t>
      </w:r>
      <w:r>
        <w:rPr>
          <w:color w:val="0C1C23"/>
          <w:spacing w:val="21"/>
        </w:rPr>
        <w:t xml:space="preserve"> </w:t>
      </w:r>
      <w:r>
        <w:rPr>
          <w:color w:val="0C1C23"/>
          <w:spacing w:val="-1"/>
        </w:rPr>
        <w:t>kWh</w:t>
      </w:r>
      <w:r>
        <w:rPr>
          <w:color w:val="0C1C23"/>
          <w:spacing w:val="21"/>
        </w:rPr>
        <w:t xml:space="preserve"> </w:t>
      </w:r>
      <w:r>
        <w:rPr>
          <w:color w:val="0C1C23"/>
          <w:spacing w:val="-2"/>
        </w:rPr>
        <w:t>oder</w:t>
      </w:r>
      <w:r>
        <w:rPr>
          <w:color w:val="0C1C23"/>
          <w:spacing w:val="21"/>
        </w:rPr>
        <w:t xml:space="preserve"> </w:t>
      </w:r>
      <w:r>
        <w:rPr>
          <w:color w:val="0C1C23"/>
          <w:spacing w:val="-2"/>
        </w:rPr>
        <w:t>ein</w:t>
      </w:r>
      <w:r>
        <w:rPr>
          <w:color w:val="0C1C23"/>
          <w:spacing w:val="55"/>
        </w:rPr>
        <w:t xml:space="preserve"> </w:t>
      </w:r>
      <w:r>
        <w:rPr>
          <w:color w:val="0C1C23"/>
          <w:spacing w:val="-2"/>
        </w:rPr>
        <w:t>329%-PlusEnergie-Haus.</w:t>
      </w:r>
    </w:p>
    <w:p w14:paraId="1AC6890E" w14:textId="77777777" w:rsidR="00714C9B" w:rsidRDefault="00714C9B">
      <w:pPr>
        <w:spacing w:line="230" w:lineRule="exact"/>
        <w:jc w:val="both"/>
        <w:sectPr w:rsidR="00714C9B">
          <w:type w:val="continuous"/>
          <w:pgSz w:w="11910" w:h="16840"/>
          <w:pgMar w:top="840" w:right="740" w:bottom="280" w:left="460" w:header="720" w:footer="720" w:gutter="0"/>
          <w:cols w:num="2" w:space="720" w:equalWidth="0">
            <w:col w:w="2554" w:space="125"/>
            <w:col w:w="8031"/>
          </w:cols>
        </w:sectPr>
      </w:pPr>
    </w:p>
    <w:p w14:paraId="4D849D40" w14:textId="77777777" w:rsidR="00714C9B" w:rsidRDefault="00714C9B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73917ECF" w14:textId="77777777" w:rsidR="00714C9B" w:rsidRDefault="00714C9B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2FBAADE2" w14:textId="77777777" w:rsidR="00714C9B" w:rsidRDefault="00714C9B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27AD731F" w14:textId="77777777" w:rsidR="00714C9B" w:rsidRDefault="00714C9B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442632B2" w14:textId="77777777" w:rsidR="00714C9B" w:rsidRDefault="00714C9B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0873A69E" w14:textId="77777777" w:rsidR="00714C9B" w:rsidRDefault="00714C9B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57CBA79B" w14:textId="77777777" w:rsidR="00714C9B" w:rsidRDefault="00714C9B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3AE9C598" w14:textId="77777777" w:rsidR="00714C9B" w:rsidRDefault="00714C9B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354E1B5B" w14:textId="77777777" w:rsidR="00714C9B" w:rsidRDefault="00714C9B">
      <w:pPr>
        <w:spacing w:before="10"/>
        <w:rPr>
          <w:rFonts w:ascii="Theinhardt Bold" w:eastAsia="Theinhardt Bold" w:hAnsi="Theinhardt Bold" w:cs="Theinhardt Bold"/>
          <w:b/>
          <w:bCs/>
          <w:sz w:val="15"/>
          <w:szCs w:val="15"/>
        </w:rPr>
      </w:pPr>
    </w:p>
    <w:p w14:paraId="107C424F" w14:textId="77777777" w:rsidR="00714C9B" w:rsidRDefault="003F6FBD">
      <w:pPr>
        <w:spacing w:before="5"/>
        <w:ind w:left="106"/>
        <w:rPr>
          <w:rFonts w:ascii="Theinhardt Black" w:eastAsia="Theinhardt Black" w:hAnsi="Theinhardt Black" w:cs="Theinhardt Black"/>
          <w:sz w:val="40"/>
          <w:szCs w:val="40"/>
        </w:rPr>
      </w:pPr>
      <w:r>
        <w:rPr>
          <w:rFonts w:ascii="Theinhardt Black"/>
          <w:b/>
          <w:color w:val="0067B1"/>
          <w:spacing w:val="-3"/>
          <w:sz w:val="40"/>
        </w:rPr>
        <w:t>329%-PlusEnergie-EFH</w:t>
      </w:r>
      <w:r>
        <w:rPr>
          <w:rFonts w:ascii="Theinhardt Black"/>
          <w:b/>
          <w:color w:val="0067B1"/>
          <w:spacing w:val="-8"/>
          <w:sz w:val="40"/>
        </w:rPr>
        <w:t xml:space="preserve"> </w:t>
      </w:r>
      <w:r>
        <w:rPr>
          <w:rFonts w:ascii="Theinhardt Black"/>
          <w:b/>
          <w:color w:val="0067B1"/>
          <w:sz w:val="40"/>
        </w:rPr>
        <w:t>Moosweg,</w:t>
      </w:r>
      <w:r>
        <w:rPr>
          <w:rFonts w:ascii="Theinhardt Black"/>
          <w:b/>
          <w:color w:val="0067B1"/>
          <w:spacing w:val="-33"/>
          <w:sz w:val="40"/>
        </w:rPr>
        <w:t xml:space="preserve"> </w:t>
      </w:r>
      <w:r>
        <w:rPr>
          <w:rFonts w:ascii="Theinhardt Black"/>
          <w:b/>
          <w:color w:val="0067B1"/>
          <w:spacing w:val="-3"/>
          <w:sz w:val="40"/>
        </w:rPr>
        <w:t>4125</w:t>
      </w:r>
      <w:r>
        <w:rPr>
          <w:rFonts w:ascii="Theinhardt Black"/>
          <w:b/>
          <w:color w:val="0067B1"/>
          <w:spacing w:val="-8"/>
          <w:sz w:val="40"/>
        </w:rPr>
        <w:t xml:space="preserve"> </w:t>
      </w:r>
      <w:r>
        <w:rPr>
          <w:rFonts w:ascii="Theinhardt Black"/>
          <w:b/>
          <w:color w:val="0067B1"/>
          <w:sz w:val="40"/>
        </w:rPr>
        <w:t>Riehen/BS</w:t>
      </w:r>
    </w:p>
    <w:p w14:paraId="0A0898C9" w14:textId="77777777" w:rsidR="00714C9B" w:rsidRDefault="00714C9B">
      <w:pPr>
        <w:spacing w:before="1"/>
        <w:rPr>
          <w:rFonts w:ascii="Theinhardt Black" w:eastAsia="Theinhardt Black" w:hAnsi="Theinhardt Black" w:cs="Theinhardt Black"/>
          <w:b/>
          <w:bCs/>
        </w:rPr>
      </w:pPr>
    </w:p>
    <w:p w14:paraId="06DA0075" w14:textId="77777777" w:rsidR="00714C9B" w:rsidRDefault="00714C9B">
      <w:pPr>
        <w:rPr>
          <w:rFonts w:ascii="Theinhardt Black" w:eastAsia="Theinhardt Black" w:hAnsi="Theinhardt Black" w:cs="Theinhardt Black"/>
        </w:rPr>
        <w:sectPr w:rsidR="00714C9B">
          <w:type w:val="continuous"/>
          <w:pgSz w:w="11910" w:h="16840"/>
          <w:pgMar w:top="840" w:right="740" w:bottom="280" w:left="460" w:header="720" w:footer="720" w:gutter="0"/>
          <w:cols w:space="720"/>
        </w:sectPr>
      </w:pPr>
    </w:p>
    <w:p w14:paraId="74504D23" w14:textId="77777777" w:rsidR="00714C9B" w:rsidRDefault="003F6FBD">
      <w:pPr>
        <w:pStyle w:val="Textkrper"/>
        <w:spacing w:before="74" w:line="230" w:lineRule="exact"/>
        <w:ind w:right="8"/>
        <w:jc w:val="both"/>
      </w:pPr>
      <w:r>
        <w:rPr>
          <w:color w:val="231F20"/>
          <w:spacing w:val="-1"/>
        </w:rPr>
        <w:t>Die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Basler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Felippi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Wyssen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Architekten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zei-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gen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PlusEnergie-EFH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Moosweg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1"/>
        </w:rPr>
        <w:t>Riehen/BS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überzeugende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1"/>
        </w:rPr>
        <w:t xml:space="preserve"> einfache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Weise,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wie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PV-Anlage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integrales,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äs-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thetisches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Element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Gestaltung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eines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Gebäudes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mitwirkt.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Für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gute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Hinterlüf-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tung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Glas-Glas-PV-Module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sorgt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di-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rekte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Montage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Holz-Dachlattung.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grosse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Dachüberstand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sorgt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3"/>
        </w:rPr>
        <w:t>Ver-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schattung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grossen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südlichen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Fenster-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front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Sommer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ermöglicht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trotzdem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solare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Passivnutzung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durch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tiefe-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ren</w:t>
      </w:r>
      <w:r>
        <w:rPr>
          <w:color w:val="231F20"/>
        </w:rPr>
        <w:t xml:space="preserve"> Sonnenstand im </w:t>
      </w:r>
      <w:r>
        <w:rPr>
          <w:color w:val="231F20"/>
          <w:spacing w:val="-3"/>
        </w:rPr>
        <w:t>Winter.</w:t>
      </w:r>
    </w:p>
    <w:p w14:paraId="47AC203D" w14:textId="77777777" w:rsidR="00714C9B" w:rsidRDefault="003F6FBD">
      <w:pPr>
        <w:pStyle w:val="Textkrper"/>
        <w:spacing w:line="230" w:lineRule="exact"/>
        <w:ind w:firstLine="226"/>
        <w:jc w:val="both"/>
      </w:pPr>
      <w:r>
        <w:rPr>
          <w:color w:val="231F20"/>
          <w:spacing w:val="1"/>
        </w:rPr>
        <w:t>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südlich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ausgerichtete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Solardach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vertikale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Lärchenschalung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Holzbaus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bewirken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Zusammenspiel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Technik,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Ästhetik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Konstruktion.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Das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nachhaltige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PEB-EFH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Moosweg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erscheint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dennoch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mo-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dern und leicht.</w:t>
      </w:r>
    </w:p>
    <w:p w14:paraId="315DACFC" w14:textId="77777777" w:rsidR="00714C9B" w:rsidRDefault="003F6FBD">
      <w:pPr>
        <w:pStyle w:val="Textkrper"/>
        <w:spacing w:line="230" w:lineRule="exact"/>
        <w:ind w:firstLine="226"/>
        <w:jc w:val="both"/>
      </w:pPr>
      <w:r>
        <w:rPr>
          <w:color w:val="231F20"/>
        </w:rPr>
        <w:t>Mit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20.8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starken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PV-Anlage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wer-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21’500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kWh/a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Strom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erzeugt.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Strombedarf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beträgt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6’500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kWh/a.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Daraus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resultiert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Solarstromüberschuss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15’000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kWh/a.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Damit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können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jährlich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Elektroautos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12’000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km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5"/>
          <w:sz w:val="10"/>
          <w:szCs w:val="10"/>
        </w:rPr>
        <w:t>2</w:t>
      </w:r>
      <w:r>
        <w:rPr>
          <w:color w:val="231F20"/>
          <w:spacing w:val="-1"/>
        </w:rPr>
        <w:t>-frei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fahren.</w:t>
      </w:r>
    </w:p>
    <w:p w14:paraId="71C21DCE" w14:textId="77777777" w:rsidR="00714C9B" w:rsidRDefault="003F6FBD">
      <w:pPr>
        <w:pStyle w:val="Textkrper"/>
        <w:spacing w:before="14" w:line="232" w:lineRule="auto"/>
        <w:ind w:right="8"/>
        <w:jc w:val="both"/>
      </w:pPr>
      <w:r>
        <w:rPr>
          <w:color w:val="231F20"/>
          <w:spacing w:val="1"/>
        </w:rPr>
        <w:t>Das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ästhetisch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ansprechende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PlusEnergie-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EFH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verdient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Norman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Foster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Solar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Award</w:t>
      </w:r>
      <w:r>
        <w:rPr>
          <w:color w:val="231F20"/>
        </w:rPr>
        <w:t xml:space="preserve"> 2020.</w:t>
      </w:r>
    </w:p>
    <w:p w14:paraId="3EFE5502" w14:textId="77777777" w:rsidR="00714C9B" w:rsidRDefault="003F6FBD">
      <w:pPr>
        <w:spacing w:before="74" w:line="230" w:lineRule="exact"/>
        <w:ind w:left="106" w:right="4"/>
        <w:jc w:val="both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br w:type="column"/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Avec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villa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BEP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Moosweg,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Riehen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(BS),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bureau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d’architectes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Felippi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Wyssen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Bâle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5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montre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façon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convaincante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comment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faire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d’une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installation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>PV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élément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esthétique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5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>part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entière.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>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montage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modules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>PV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bi-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verre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directement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sur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lattes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bois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toit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permet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rétro-ventiler.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>L’été,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large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débord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toiture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fait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l’ombre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grande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façade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fenêtres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>au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sud.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>L’hiver,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il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assure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une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utilisation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passive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soleil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raison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sa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position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plus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basse.</w:t>
      </w:r>
    </w:p>
    <w:p w14:paraId="3E0FFA3B" w14:textId="77777777" w:rsidR="00714C9B" w:rsidRDefault="003F6FBD">
      <w:pPr>
        <w:spacing w:line="230" w:lineRule="exact"/>
        <w:ind w:left="106" w:firstLine="226"/>
        <w:jc w:val="both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rPr>
          <w:rFonts w:ascii="Theinhardt Regular Italic" w:hAnsi="Theinhardt Regular Italic"/>
          <w:i/>
          <w:color w:val="231F20"/>
          <w:spacing w:val="-5"/>
          <w:sz w:val="18"/>
        </w:rPr>
        <w:t>Le</w:t>
      </w:r>
      <w:r>
        <w:rPr>
          <w:rFonts w:ascii="Theinhardt Regular Italic" w:hAnsi="Theinhardt Regular Italic"/>
          <w:i/>
          <w:color w:val="231F20"/>
          <w:spacing w:val="7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toit</w:t>
      </w:r>
      <w:r>
        <w:rPr>
          <w:rFonts w:ascii="Theinhardt Regular Italic" w:hAnsi="Theinhardt Regular Italic"/>
          <w:i/>
          <w:color w:val="231F20"/>
          <w:spacing w:val="7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solaire</w:t>
      </w:r>
      <w:r>
        <w:rPr>
          <w:rFonts w:ascii="Theinhardt Regular Italic" w:hAnsi="Theinhardt Regular Italic"/>
          <w:i/>
          <w:color w:val="231F20"/>
          <w:spacing w:val="7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orienté</w:t>
      </w:r>
      <w:r>
        <w:rPr>
          <w:rFonts w:ascii="Theinhardt Regular Italic" w:hAnsi="Theinhardt Regular Italic"/>
          <w:i/>
          <w:color w:val="231F20"/>
          <w:spacing w:val="7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sud,</w:t>
      </w:r>
      <w:r>
        <w:rPr>
          <w:rFonts w:ascii="Theinhardt Regular Italic" w:hAnsi="Theinhardt Regular Italic"/>
          <w:i/>
          <w:color w:val="231F20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associé</w:t>
      </w:r>
      <w:r>
        <w:rPr>
          <w:rFonts w:ascii="Theinhardt Regular Italic" w:hAnsi="Theinhardt Regular Italic"/>
          <w:i/>
          <w:color w:val="231F20"/>
          <w:spacing w:val="7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1"/>
          <w:sz w:val="18"/>
        </w:rPr>
        <w:t>au</w:t>
      </w:r>
      <w:r>
        <w:rPr>
          <w:rFonts w:ascii="Theinhardt Regular Italic" w:hAnsi="Theinhardt Regular Italic"/>
          <w:i/>
          <w:color w:val="231F20"/>
          <w:spacing w:val="30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coffrage</w:t>
      </w:r>
      <w:r>
        <w:rPr>
          <w:rFonts w:ascii="Theinhardt Regular Italic" w:hAnsi="Theinhardt Regular Italic"/>
          <w:i/>
          <w:color w:val="231F20"/>
          <w:spacing w:val="-8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vertical</w:t>
      </w:r>
      <w:r>
        <w:rPr>
          <w:rFonts w:ascii="Theinhardt Regular Italic" w:hAnsi="Theinhardt Regular Italic"/>
          <w:i/>
          <w:color w:val="231F20"/>
          <w:spacing w:val="-8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en</w:t>
      </w:r>
      <w:r>
        <w:rPr>
          <w:rFonts w:ascii="Theinhardt Regular Italic" w:hAnsi="Theinhardt Regular Italic"/>
          <w:i/>
          <w:color w:val="231F20"/>
          <w:spacing w:val="-8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mélèze,</w:t>
      </w:r>
      <w:r>
        <w:rPr>
          <w:rFonts w:ascii="Theinhardt Regular Italic" w:hAnsi="Theinhardt Regular Italic"/>
          <w:i/>
          <w:color w:val="231F20"/>
          <w:spacing w:val="-15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allie</w:t>
      </w:r>
      <w:r>
        <w:rPr>
          <w:rFonts w:ascii="Theinhardt Regular Italic" w:hAnsi="Theinhardt Regular Italic"/>
          <w:i/>
          <w:color w:val="231F20"/>
          <w:spacing w:val="-8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technologie,</w:t>
      </w:r>
      <w:r>
        <w:rPr>
          <w:rFonts w:ascii="Theinhardt Regular Italic" w:hAnsi="Theinhardt Regular Italic"/>
          <w:i/>
          <w:color w:val="231F20"/>
          <w:spacing w:val="31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esthétique</w:t>
      </w:r>
      <w:r>
        <w:rPr>
          <w:rFonts w:ascii="Theinhardt Regular Italic" w:hAnsi="Theinhardt Regular Italic"/>
          <w:i/>
          <w:color w:val="231F20"/>
          <w:spacing w:val="1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et</w:t>
      </w:r>
      <w:r>
        <w:rPr>
          <w:rFonts w:ascii="Theinhardt Regular Italic" w:hAnsi="Theinhardt Regular Italic"/>
          <w:i/>
          <w:color w:val="231F20"/>
          <w:spacing w:val="1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construction.</w:t>
      </w:r>
      <w:r>
        <w:rPr>
          <w:rFonts w:ascii="Theinhardt Regular Italic" w:hAnsi="Theinhardt Regular Italic"/>
          <w:i/>
          <w:color w:val="231F20"/>
          <w:spacing w:val="-7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5"/>
          <w:sz w:val="18"/>
        </w:rPr>
        <w:t>Le</w:t>
      </w:r>
      <w:r>
        <w:rPr>
          <w:rFonts w:ascii="Theinhardt Regular Italic" w:hAnsi="Theinhardt Regular Italic"/>
          <w:i/>
          <w:color w:val="231F20"/>
          <w:spacing w:val="1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BEP</w:t>
      </w:r>
      <w:r>
        <w:rPr>
          <w:rFonts w:ascii="Theinhardt Regular Italic" w:hAnsi="Theinhardt Regular Italic"/>
          <w:i/>
          <w:color w:val="231F20"/>
          <w:spacing w:val="1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est</w:t>
      </w:r>
      <w:r>
        <w:rPr>
          <w:rFonts w:ascii="Theinhardt Regular Italic" w:hAnsi="Theinhardt Regular Italic"/>
          <w:i/>
          <w:color w:val="231F20"/>
          <w:spacing w:val="1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à</w:t>
      </w:r>
      <w:r>
        <w:rPr>
          <w:rFonts w:ascii="Theinhardt Regular Italic" w:hAnsi="Theinhardt Regular Italic"/>
          <w:i/>
          <w:color w:val="231F20"/>
          <w:spacing w:val="1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fois</w:t>
      </w:r>
      <w:r>
        <w:rPr>
          <w:rFonts w:ascii="Theinhardt Regular Italic" w:hAnsi="Theinhardt Regular Italic"/>
          <w:i/>
          <w:color w:val="231F20"/>
          <w:spacing w:val="37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durable</w:t>
      </w:r>
      <w:r>
        <w:rPr>
          <w:rFonts w:ascii="Theinhardt Regular Italic" w:hAnsi="Theinhardt Regular Italic"/>
          <w:i/>
          <w:color w:val="231F20"/>
          <w:sz w:val="18"/>
        </w:rPr>
        <w:t xml:space="preserve"> et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moderne.</w:t>
      </w:r>
    </w:p>
    <w:p w14:paraId="05FF6E5F" w14:textId="77777777" w:rsidR="00714C9B" w:rsidRDefault="003F6FBD">
      <w:pPr>
        <w:spacing w:before="18" w:line="227" w:lineRule="auto"/>
        <w:ind w:left="106" w:right="5" w:firstLine="226"/>
        <w:jc w:val="both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L’installation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>PV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20,8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kW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génère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21’500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kWh/a,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dont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6’500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kWh/a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alimen-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tent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villa.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>L’excédent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solaire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15’000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kWh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permettrait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dix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véhicules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électriques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parcourir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chacun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12’000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>km/a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sans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émettre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CO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position w:val="-5"/>
          <w:sz w:val="10"/>
          <w:szCs w:val="10"/>
        </w:rPr>
        <w:t>2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>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BEP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Moosweg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reçoit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Norman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Foster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Solar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Award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2020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pour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son</w:t>
      </w:r>
    </w:p>
    <w:p w14:paraId="3339EA2F" w14:textId="77777777" w:rsidR="00714C9B" w:rsidRDefault="003F6FBD">
      <w:pPr>
        <w:spacing w:line="233" w:lineRule="exact"/>
        <w:ind w:left="106"/>
        <w:jc w:val="both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rPr>
          <w:rFonts w:ascii="Theinhardt Regular Italic" w:hAnsi="Theinhardt Regular Italic"/>
          <w:i/>
          <w:color w:val="231F20"/>
          <w:spacing w:val="-2"/>
          <w:sz w:val="18"/>
        </w:rPr>
        <w:t>esthétique</w:t>
      </w:r>
      <w:r>
        <w:rPr>
          <w:rFonts w:ascii="Theinhardt Regular Italic" w:hAnsi="Theinhardt Regular Italic"/>
          <w:i/>
          <w:color w:val="231F20"/>
          <w:sz w:val="18"/>
        </w:rPr>
        <w:t xml:space="preserve"> attrayante.</w:t>
      </w:r>
    </w:p>
    <w:p w14:paraId="4FD9E557" w14:textId="77777777" w:rsidR="00714C9B" w:rsidRDefault="003F6FBD">
      <w:pPr>
        <w:spacing w:before="67"/>
        <w:ind w:left="106"/>
        <w:jc w:val="both"/>
        <w:rPr>
          <w:rFonts w:ascii="Theinhardt Black" w:eastAsia="Theinhardt Black" w:hAnsi="Theinhardt Black" w:cs="Theinhardt Black"/>
          <w:sz w:val="14"/>
          <w:szCs w:val="14"/>
        </w:rPr>
      </w:pPr>
      <w:r>
        <w:br w:type="column"/>
      </w:r>
      <w:r>
        <w:rPr>
          <w:rFonts w:ascii="Theinhardt Black"/>
          <w:b/>
          <w:color w:val="231F20"/>
          <w:sz w:val="14"/>
        </w:rPr>
        <w:t xml:space="preserve">Technische </w:t>
      </w:r>
      <w:r>
        <w:rPr>
          <w:rFonts w:ascii="Theinhardt Black"/>
          <w:b/>
          <w:color w:val="231F20"/>
          <w:spacing w:val="1"/>
          <w:sz w:val="14"/>
        </w:rPr>
        <w:t>Daten</w:t>
      </w:r>
    </w:p>
    <w:p w14:paraId="75401364" w14:textId="77777777" w:rsidR="00714C9B" w:rsidRDefault="00714C9B">
      <w:pPr>
        <w:spacing w:before="10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3634ECE6" w14:textId="77777777" w:rsidR="00714C9B" w:rsidRDefault="003F6FBD">
      <w:pPr>
        <w:spacing w:line="20" w:lineRule="atLeast"/>
        <w:ind w:left="106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 w:eastAsia="Theinhardt Black" w:hAnsi="Theinhardt Black" w:cs="Theinhardt Black"/>
          <w:sz w:val="2"/>
          <w:szCs w:val="2"/>
        </w:rPr>
      </w:r>
      <w:r>
        <w:rPr>
          <w:rFonts w:ascii="Theinhardt Black" w:eastAsia="Theinhardt Black" w:hAnsi="Theinhardt Black" w:cs="Theinhardt Black"/>
          <w:sz w:val="2"/>
          <w:szCs w:val="2"/>
        </w:rPr>
        <w:pict w14:anchorId="3C5300CB">
          <v:group id="_x0000_s1040" style="width:167.25pt;height:.45pt;mso-position-horizontal-relative:char;mso-position-vertical-relative:line" coordsize="3345,9">
            <v:group id="_x0000_s1045" style="position:absolute;left:21;top:4;width:3311;height:2" coordorigin="21,4" coordsize="3311,2">
              <v:shape id="_x0000_s1046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43" style="position:absolute;left:4;top:4;width:2;height:2" coordorigin="4,4" coordsize="2,2">
              <v:shape id="_x0000_s1044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41" style="position:absolute;left:3341;top:4;width:2;height:2" coordorigin="3341,4" coordsize="2,2">
              <v:shape id="_x0000_s1042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2770F9EA" w14:textId="77777777" w:rsidR="00714C9B" w:rsidRDefault="003F6FBD">
      <w:pPr>
        <w:spacing w:before="20" w:line="172" w:lineRule="exact"/>
        <w:ind w:left="106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Wärmedämmung</w:t>
      </w:r>
    </w:p>
    <w:p w14:paraId="34304EFD" w14:textId="77777777" w:rsidR="00714C9B" w:rsidRDefault="003F6FBD">
      <w:pPr>
        <w:tabs>
          <w:tab w:val="left" w:pos="1195"/>
          <w:tab w:val="left" w:pos="2662"/>
        </w:tabs>
        <w:spacing w:line="160" w:lineRule="exact"/>
        <w:ind w:left="106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Wand:</w:t>
      </w:r>
      <w:r>
        <w:rPr>
          <w:rFonts w:ascii="Theinhardt Regular"/>
          <w:color w:val="231F20"/>
          <w:sz w:val="14"/>
        </w:rPr>
        <w:tab/>
      </w:r>
      <w:r>
        <w:rPr>
          <w:rFonts w:ascii="Theinhardt Regular"/>
          <w:color w:val="231F20"/>
          <w:spacing w:val="-2"/>
          <w:sz w:val="14"/>
        </w:rPr>
        <w:t>24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z w:val="14"/>
        </w:rPr>
        <w:t xml:space="preserve">    </w:t>
      </w:r>
      <w:r>
        <w:rPr>
          <w:rFonts w:ascii="Theinhardt Regular"/>
          <w:color w:val="231F20"/>
          <w:spacing w:val="18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U-Wert:</w:t>
      </w:r>
      <w:r>
        <w:rPr>
          <w:rFonts w:ascii="Theinhardt Regular"/>
          <w:color w:val="231F20"/>
          <w:spacing w:val="1"/>
          <w:sz w:val="14"/>
        </w:rPr>
        <w:tab/>
      </w:r>
      <w:r>
        <w:rPr>
          <w:rFonts w:ascii="Theinhardt Regular"/>
          <w:color w:val="231F20"/>
          <w:spacing w:val="-5"/>
          <w:sz w:val="14"/>
        </w:rPr>
        <w:t>0.16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</w:p>
    <w:p w14:paraId="3C53169A" w14:textId="77777777" w:rsidR="00714C9B" w:rsidRDefault="003F6FBD">
      <w:pPr>
        <w:tabs>
          <w:tab w:val="left" w:pos="1193"/>
          <w:tab w:val="left" w:pos="2662"/>
        </w:tabs>
        <w:spacing w:line="160" w:lineRule="exact"/>
        <w:ind w:left="106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Dach:</w:t>
      </w:r>
      <w:r>
        <w:rPr>
          <w:rFonts w:ascii="Theinhardt Regular"/>
          <w:color w:val="231F20"/>
          <w:spacing w:val="1"/>
          <w:sz w:val="14"/>
        </w:rPr>
        <w:tab/>
      </w:r>
      <w:r>
        <w:rPr>
          <w:rFonts w:ascii="Theinhardt Regular"/>
          <w:color w:val="231F20"/>
          <w:spacing w:val="-1"/>
          <w:sz w:val="14"/>
        </w:rPr>
        <w:t>26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z w:val="14"/>
        </w:rPr>
        <w:t xml:space="preserve">    </w:t>
      </w:r>
      <w:r>
        <w:rPr>
          <w:rFonts w:ascii="Theinhardt Regular"/>
          <w:color w:val="231F20"/>
          <w:spacing w:val="18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U-Wert:</w:t>
      </w:r>
      <w:r>
        <w:rPr>
          <w:rFonts w:ascii="Theinhardt Regular"/>
          <w:color w:val="231F20"/>
          <w:spacing w:val="1"/>
          <w:sz w:val="14"/>
        </w:rPr>
        <w:tab/>
      </w:r>
      <w:r>
        <w:rPr>
          <w:rFonts w:ascii="Theinhardt Regular"/>
          <w:color w:val="231F20"/>
          <w:spacing w:val="-5"/>
          <w:sz w:val="14"/>
        </w:rPr>
        <w:t>0.16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</w:p>
    <w:p w14:paraId="5A96F1DA" w14:textId="77777777" w:rsidR="00714C9B" w:rsidRDefault="003F6FBD">
      <w:pPr>
        <w:tabs>
          <w:tab w:val="left" w:pos="1075"/>
          <w:tab w:val="left" w:pos="1788"/>
          <w:tab w:val="left" w:pos="2662"/>
        </w:tabs>
        <w:spacing w:before="5" w:line="207" w:lineRule="auto"/>
        <w:ind w:left="106" w:right="165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Boden:</w:t>
      </w:r>
      <w:r>
        <w:rPr>
          <w:rFonts w:ascii="Theinhardt Regular"/>
          <w:color w:val="231F20"/>
          <w:spacing w:val="1"/>
          <w:sz w:val="14"/>
        </w:rPr>
        <w:tab/>
      </w:r>
      <w:r>
        <w:rPr>
          <w:rFonts w:ascii="Theinhardt Regular"/>
          <w:color w:val="231F20"/>
          <w:spacing w:val="-1"/>
          <w:sz w:val="14"/>
        </w:rPr>
        <w:t>22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pacing w:val="1"/>
          <w:sz w:val="14"/>
        </w:rPr>
        <w:tab/>
        <w:t>U-Wert:</w:t>
      </w:r>
      <w:r>
        <w:rPr>
          <w:rFonts w:ascii="Theinhardt Regular"/>
          <w:color w:val="231F20"/>
          <w:spacing w:val="1"/>
          <w:sz w:val="14"/>
        </w:rPr>
        <w:tab/>
      </w:r>
      <w:r>
        <w:rPr>
          <w:rFonts w:ascii="Theinhardt Regular"/>
          <w:color w:val="231F20"/>
          <w:spacing w:val="-5"/>
          <w:sz w:val="14"/>
        </w:rPr>
        <w:t>0.16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color w:val="231F20"/>
          <w:spacing w:val="22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Fenster:</w:t>
      </w:r>
      <w:r>
        <w:rPr>
          <w:rFonts w:ascii="Theinhardt Regular"/>
          <w:color w:val="231F20"/>
          <w:spacing w:val="1"/>
          <w:sz w:val="14"/>
        </w:rPr>
        <w:tab/>
      </w:r>
      <w:r>
        <w:rPr>
          <w:rFonts w:ascii="Theinhardt Regular"/>
          <w:color w:val="231F20"/>
          <w:w w:val="95"/>
          <w:sz w:val="14"/>
        </w:rPr>
        <w:t>dreifach</w:t>
      </w:r>
      <w:r>
        <w:rPr>
          <w:rFonts w:ascii="Theinhardt Regular"/>
          <w:color w:val="231F20"/>
          <w:w w:val="95"/>
          <w:sz w:val="14"/>
        </w:rPr>
        <w:tab/>
      </w:r>
      <w:r>
        <w:rPr>
          <w:rFonts w:ascii="Theinhardt Regular"/>
          <w:color w:val="231F20"/>
          <w:spacing w:val="1"/>
          <w:sz w:val="14"/>
        </w:rPr>
        <w:t>U-Wert:</w:t>
      </w:r>
      <w:r>
        <w:rPr>
          <w:rFonts w:ascii="Theinhardt Regular"/>
          <w:color w:val="231F20"/>
          <w:spacing w:val="1"/>
          <w:sz w:val="14"/>
        </w:rPr>
        <w:tab/>
      </w:r>
      <w:r>
        <w:rPr>
          <w:rFonts w:ascii="Theinhardt Regular"/>
          <w:color w:val="231F20"/>
          <w:sz w:val="14"/>
        </w:rPr>
        <w:t xml:space="preserve">0.9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</w:p>
    <w:p w14:paraId="6BC92537" w14:textId="77777777" w:rsidR="00714C9B" w:rsidRDefault="003F6FBD">
      <w:pPr>
        <w:spacing w:before="38" w:line="172" w:lineRule="exact"/>
        <w:ind w:left="106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3"/>
          <w:sz w:val="14"/>
        </w:rPr>
        <w:t>E</w:t>
      </w:r>
      <w:r>
        <w:rPr>
          <w:rFonts w:ascii="Theinhardt Bold"/>
          <w:b/>
          <w:color w:val="231F20"/>
          <w:spacing w:val="2"/>
          <w:sz w:val="14"/>
        </w:rPr>
        <w:t>ner</w:t>
      </w:r>
      <w:r>
        <w:rPr>
          <w:rFonts w:ascii="Theinhardt Bold"/>
          <w:b/>
          <w:color w:val="231F20"/>
          <w:spacing w:val="1"/>
          <w:sz w:val="14"/>
        </w:rPr>
        <w:t>g</w:t>
      </w:r>
      <w:r>
        <w:rPr>
          <w:rFonts w:ascii="Theinhardt Bold"/>
          <w:b/>
          <w:color w:val="231F20"/>
          <w:spacing w:val="2"/>
          <w:sz w:val="14"/>
        </w:rPr>
        <w:t>iebeda</w:t>
      </w:r>
      <w:r>
        <w:rPr>
          <w:rFonts w:ascii="Theinhardt Bold"/>
          <w:b/>
          <w:color w:val="231F20"/>
          <w:spacing w:val="4"/>
          <w:sz w:val="14"/>
        </w:rPr>
        <w:t>r</w:t>
      </w:r>
      <w:r>
        <w:rPr>
          <w:rFonts w:ascii="Theinhardt Bold"/>
          <w:b/>
          <w:color w:val="231F20"/>
          <w:sz w:val="14"/>
        </w:rPr>
        <w:t>f</w:t>
      </w:r>
    </w:p>
    <w:p w14:paraId="1EA593D6" w14:textId="77777777" w:rsidR="00714C9B" w:rsidRDefault="003F6FBD">
      <w:pPr>
        <w:tabs>
          <w:tab w:val="left" w:pos="1694"/>
        </w:tabs>
        <w:spacing w:line="160" w:lineRule="exact"/>
        <w:ind w:left="106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EBF: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226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color w:val="231F20"/>
          <w:spacing w:val="-1"/>
          <w:position w:val="5"/>
          <w:sz w:val="8"/>
        </w:rPr>
        <w:tab/>
      </w:r>
      <w:r>
        <w:rPr>
          <w:rFonts w:ascii="Theinhardt Regular"/>
          <w:color w:val="231F20"/>
          <w:sz w:val="14"/>
        </w:rPr>
        <w:t>kWh/m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 xml:space="preserve">a      </w:t>
      </w:r>
      <w:r>
        <w:rPr>
          <w:rFonts w:ascii="Theinhardt Regular"/>
          <w:color w:val="231F20"/>
          <w:spacing w:val="5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%       </w:t>
      </w:r>
      <w:r>
        <w:rPr>
          <w:rFonts w:ascii="Theinhardt Regular"/>
          <w:color w:val="231F20"/>
          <w:spacing w:val="32"/>
          <w:sz w:val="14"/>
        </w:rPr>
        <w:t xml:space="preserve"> </w:t>
      </w:r>
      <w:r>
        <w:rPr>
          <w:rFonts w:ascii="Theinhardt Regular"/>
          <w:color w:val="231F20"/>
          <w:sz w:val="14"/>
        </w:rPr>
        <w:t>kWh/a</w:t>
      </w:r>
    </w:p>
    <w:p w14:paraId="51253F19" w14:textId="77777777" w:rsidR="00714C9B" w:rsidRDefault="003F6FBD">
      <w:pPr>
        <w:tabs>
          <w:tab w:val="left" w:pos="1975"/>
        </w:tabs>
        <w:spacing w:line="160" w:lineRule="exact"/>
        <w:ind w:left="107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Elektrizität: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28.9  </w:t>
      </w:r>
      <w:r>
        <w:rPr>
          <w:rFonts w:ascii="Theinhardt Regular" w:eastAsia="Theinhardt Regular" w:hAnsi="Theinhardt Regular" w:cs="Theinhardt Regular"/>
          <w:color w:val="231F20"/>
          <w:spacing w:val="35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100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      </w:t>
      </w:r>
      <w:r>
        <w:rPr>
          <w:rFonts w:ascii="Theinhardt Regular" w:eastAsia="Theinhardt Regular" w:hAnsi="Theinhardt Regular" w:cs="Theinhardt Regular"/>
          <w:color w:val="231F20"/>
          <w:spacing w:val="31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6’529</w:t>
      </w:r>
    </w:p>
    <w:p w14:paraId="1CF2916E" w14:textId="77777777" w:rsidR="00714C9B" w:rsidRDefault="003F6FBD">
      <w:pPr>
        <w:tabs>
          <w:tab w:val="left" w:pos="1975"/>
        </w:tabs>
        <w:spacing w:line="172" w:lineRule="exact"/>
        <w:ind w:left="107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>Gesamt-EB: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28.9  </w:t>
      </w:r>
      <w:r>
        <w:rPr>
          <w:rFonts w:ascii="Theinhardt Regular" w:eastAsia="Theinhardt Regular" w:hAnsi="Theinhardt Regular" w:cs="Theinhardt Regular"/>
          <w:color w:val="231F20"/>
          <w:spacing w:val="35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100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      </w:t>
      </w:r>
      <w:r>
        <w:rPr>
          <w:rFonts w:ascii="Theinhardt Regular" w:eastAsia="Theinhardt Regular" w:hAnsi="Theinhardt Regular" w:cs="Theinhardt Regular"/>
          <w:color w:val="231F20"/>
          <w:spacing w:val="18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6’529</w:t>
      </w:r>
    </w:p>
    <w:p w14:paraId="20C1D94B" w14:textId="77777777" w:rsidR="00714C9B" w:rsidRDefault="003F6FBD">
      <w:pPr>
        <w:spacing w:before="32" w:line="172" w:lineRule="exact"/>
        <w:ind w:left="107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Energieversorgung</w:t>
      </w:r>
    </w:p>
    <w:p w14:paraId="47B9CBCA" w14:textId="2EC59600" w:rsidR="00714C9B" w:rsidRDefault="003F6FBD">
      <w:pPr>
        <w:tabs>
          <w:tab w:val="left" w:pos="888"/>
          <w:tab w:val="left" w:pos="2025"/>
          <w:tab w:val="left" w:pos="2529"/>
          <w:tab w:val="left" w:pos="2937"/>
        </w:tabs>
        <w:spacing w:before="6" w:line="207" w:lineRule="auto"/>
        <w:ind w:left="106" w:right="165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Eigen-EV: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eastAsia="Theinhardt Regular" w:hAnsi="Theinhardt Regular" w:cs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eastAsia="Theinhardt Regular" w:hAnsi="Theinhardt Regular" w:cs="Theinhardt Regular"/>
          <w:color w:val="231F20"/>
          <w:position w:val="5"/>
          <w:sz w:val="8"/>
          <w:szCs w:val="8"/>
        </w:rPr>
        <w:t xml:space="preserve">       </w:t>
      </w:r>
      <w:r>
        <w:rPr>
          <w:rFonts w:ascii="Theinhardt Regular" w:eastAsia="Theinhardt Regular" w:hAnsi="Theinhardt Regular" w:cs="Theinhardt Regular"/>
          <w:color w:val="231F20"/>
          <w:spacing w:val="11"/>
          <w:position w:val="5"/>
          <w:sz w:val="8"/>
          <w:szCs w:val="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kWp   kWh/m</w:t>
      </w:r>
      <w:r>
        <w:rPr>
          <w:rFonts w:ascii="Theinhardt Regular" w:eastAsia="Theinhardt Regular" w:hAnsi="Theinhardt Regular" w:cs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a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  <w:t>%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  <w:t>kWh/a</w:t>
      </w:r>
      <w:r>
        <w:rPr>
          <w:rFonts w:ascii="Theinhardt Regular" w:eastAsia="Theinhardt Regular" w:hAnsi="Theinhardt Regular" w:cs="Theinhardt Regular"/>
          <w:color w:val="231F20"/>
          <w:spacing w:val="38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PV-Dach: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3"/>
          <w:sz w:val="14"/>
          <w:szCs w:val="14"/>
        </w:rPr>
        <w:t>122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 </w:t>
      </w:r>
      <w:r>
        <w:rPr>
          <w:rFonts w:ascii="Theinhardt Regular" w:eastAsia="Theinhardt Regular" w:hAnsi="Theinhardt Regular" w:cs="Theinhardt Regular"/>
          <w:color w:val="231F20"/>
          <w:spacing w:val="14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20.8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5"/>
          <w:sz w:val="14"/>
          <w:szCs w:val="14"/>
        </w:rPr>
        <w:t>176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</w:t>
      </w:r>
      <w:r>
        <w:rPr>
          <w:rFonts w:ascii="Theinhardt Regular" w:eastAsia="Theinhardt Regular" w:hAnsi="Theinhardt Regular" w:cs="Theinhardt Regular"/>
          <w:color w:val="231F20"/>
          <w:spacing w:val="35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 xml:space="preserve">329      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21’500</w:t>
      </w:r>
    </w:p>
    <w:p w14:paraId="3DCBF167" w14:textId="77777777" w:rsidR="00714C9B" w:rsidRDefault="00714C9B">
      <w:pPr>
        <w:spacing w:before="7"/>
        <w:rPr>
          <w:rFonts w:ascii="Theinhardt Bold" w:eastAsia="Theinhardt Bold" w:hAnsi="Theinhardt Bold" w:cs="Theinhardt Bold"/>
          <w:b/>
          <w:bCs/>
          <w:sz w:val="2"/>
          <w:szCs w:val="2"/>
        </w:rPr>
      </w:pPr>
    </w:p>
    <w:tbl>
      <w:tblPr>
        <w:tblStyle w:val="TableNormal"/>
        <w:tblW w:w="0" w:type="auto"/>
        <w:tblInd w:w="51" w:type="dxa"/>
        <w:tblLayout w:type="fixed"/>
        <w:tblLook w:val="01E0" w:firstRow="1" w:lastRow="1" w:firstColumn="1" w:lastColumn="1" w:noHBand="0" w:noVBand="0"/>
      </w:tblPr>
      <w:tblGrid>
        <w:gridCol w:w="2098"/>
        <w:gridCol w:w="650"/>
        <w:gridCol w:w="651"/>
      </w:tblGrid>
      <w:tr w:rsidR="00714C9B" w14:paraId="76A508B1" w14:textId="77777777">
        <w:trPr>
          <w:trHeight w:hRule="exact" w:val="187"/>
        </w:trPr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</w:tcPr>
          <w:p w14:paraId="53F8E145" w14:textId="77777777" w:rsidR="00714C9B" w:rsidRDefault="003F6FBD">
            <w:pPr>
              <w:pStyle w:val="TableParagraph"/>
              <w:spacing w:before="4" w:line="182" w:lineRule="exact"/>
              <w:ind w:left="55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Energiebilanz</w:t>
            </w:r>
            <w:r>
              <w:rPr>
                <w:rFonts w:ascii="Theinhardt Bold"/>
                <w:b/>
                <w:color w:val="231F20"/>
                <w:sz w:val="14"/>
              </w:rPr>
              <w:t xml:space="preserve"> </w:t>
            </w:r>
            <w:r>
              <w:rPr>
                <w:rFonts w:ascii="Theinhardt Bold"/>
                <w:b/>
                <w:color w:val="231F20"/>
                <w:spacing w:val="1"/>
                <w:sz w:val="14"/>
              </w:rPr>
              <w:t>(Endenergie)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14:paraId="0DE700A4" w14:textId="77777777" w:rsidR="00714C9B" w:rsidRDefault="003F6FBD">
            <w:pPr>
              <w:pStyle w:val="TableParagraph"/>
              <w:spacing w:before="4" w:line="182" w:lineRule="exact"/>
              <w:ind w:left="380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72104E9E" w14:textId="77777777" w:rsidR="00714C9B" w:rsidRDefault="003F6FBD">
            <w:pPr>
              <w:pStyle w:val="TableParagraph"/>
              <w:spacing w:before="4" w:line="182" w:lineRule="exact"/>
              <w:ind w:left="193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kWh/a</w:t>
            </w:r>
          </w:p>
        </w:tc>
      </w:tr>
      <w:tr w:rsidR="00714C9B" w14:paraId="460B249C" w14:textId="77777777">
        <w:trPr>
          <w:trHeight w:hRule="exact" w:val="159"/>
        </w:trPr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</w:tcPr>
          <w:p w14:paraId="344B73E6" w14:textId="77777777" w:rsidR="00714C9B" w:rsidRDefault="003F6FBD">
            <w:pPr>
              <w:pStyle w:val="TableParagraph"/>
              <w:spacing w:line="159" w:lineRule="exact"/>
              <w:ind w:left="55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Eigenenergieversorgung: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14:paraId="4DAA134C" w14:textId="77777777" w:rsidR="00714C9B" w:rsidRDefault="003F6FBD">
            <w:pPr>
              <w:pStyle w:val="TableParagraph"/>
              <w:spacing w:line="159" w:lineRule="exact"/>
              <w:ind w:left="256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3</w:t>
            </w:r>
            <w:r>
              <w:rPr>
                <w:rFonts w:ascii="Theinhardt Bold"/>
                <w:b/>
                <w:color w:val="231F20"/>
                <w:spacing w:val="2"/>
                <w:sz w:val="14"/>
              </w:rPr>
              <w:t>2</w:t>
            </w:r>
            <w:r>
              <w:rPr>
                <w:rFonts w:ascii="Theinhardt Bold"/>
                <w:b/>
                <w:color w:val="231F20"/>
                <w:sz w:val="14"/>
              </w:rPr>
              <w:t>9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10B33529" w14:textId="77777777" w:rsidR="00714C9B" w:rsidRDefault="003F6FBD">
            <w:pPr>
              <w:pStyle w:val="TableParagraph"/>
              <w:spacing w:line="159" w:lineRule="exact"/>
              <w:ind w:left="138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 w:eastAsia="Theinhardt Bold" w:hAnsi="Theinhardt Bold" w:cs="Theinhardt Bold"/>
                <w:b/>
                <w:bCs/>
                <w:color w:val="231F20"/>
                <w:sz w:val="14"/>
                <w:szCs w:val="14"/>
              </w:rPr>
              <w:t>21’500</w:t>
            </w:r>
          </w:p>
        </w:tc>
      </w:tr>
      <w:tr w:rsidR="00714C9B" w14:paraId="6C376FC1" w14:textId="77777777">
        <w:trPr>
          <w:trHeight w:hRule="exact" w:val="160"/>
        </w:trPr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</w:tcPr>
          <w:p w14:paraId="34884FC9" w14:textId="77777777" w:rsidR="00714C9B" w:rsidRDefault="003F6FBD">
            <w:pPr>
              <w:pStyle w:val="TableParagraph"/>
              <w:spacing w:line="160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2"/>
                <w:sz w:val="14"/>
              </w:rPr>
              <w:t>Gesamtenergiebedarf: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14:paraId="6C69A710" w14:textId="77777777" w:rsidR="00714C9B" w:rsidRDefault="003F6FBD">
            <w:pPr>
              <w:pStyle w:val="TableParagraph"/>
              <w:spacing w:line="160" w:lineRule="exact"/>
              <w:ind w:left="261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100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2C3AF0DF" w14:textId="77777777" w:rsidR="00714C9B" w:rsidRDefault="003F6FBD">
            <w:pPr>
              <w:pStyle w:val="TableParagraph"/>
              <w:spacing w:line="160" w:lineRule="exact"/>
              <w:ind w:left="217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 w:eastAsia="Theinhardt Bold" w:hAnsi="Theinhardt Bold" w:cs="Theinhardt Bold"/>
                <w:b/>
                <w:bCs/>
                <w:color w:val="231F20"/>
                <w:sz w:val="14"/>
                <w:szCs w:val="14"/>
              </w:rPr>
              <w:t>6’529</w:t>
            </w:r>
          </w:p>
        </w:tc>
      </w:tr>
      <w:tr w:rsidR="00714C9B" w14:paraId="5BB2095D" w14:textId="77777777">
        <w:trPr>
          <w:trHeight w:hRule="exact" w:val="141"/>
        </w:trPr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</w:tcPr>
          <w:p w14:paraId="25C729AA" w14:textId="77777777" w:rsidR="00714C9B" w:rsidRDefault="003F6FBD">
            <w:pPr>
              <w:pStyle w:val="TableParagraph"/>
              <w:spacing w:line="141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2"/>
                <w:sz w:val="14"/>
              </w:rPr>
              <w:t>Solarstromüberschuss: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14:paraId="64961D9F" w14:textId="77777777" w:rsidR="00714C9B" w:rsidRDefault="003F6FBD">
            <w:pPr>
              <w:pStyle w:val="TableParagraph"/>
              <w:spacing w:line="141" w:lineRule="exact"/>
              <w:ind w:left="255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2"/>
                <w:sz w:val="14"/>
              </w:rPr>
              <w:t>229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6DFB45CF" w14:textId="77777777" w:rsidR="00714C9B" w:rsidRDefault="003F6FBD">
            <w:pPr>
              <w:pStyle w:val="TableParagraph"/>
              <w:spacing w:line="141" w:lineRule="exact"/>
              <w:ind w:left="142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 w:eastAsia="Theinhardt Bold" w:hAnsi="Theinhardt Bold" w:cs="Theinhardt Bold"/>
                <w:b/>
                <w:bCs/>
                <w:color w:val="231F20"/>
                <w:spacing w:val="-1"/>
                <w:sz w:val="14"/>
                <w:szCs w:val="14"/>
              </w:rPr>
              <w:t>14’971</w:t>
            </w:r>
          </w:p>
        </w:tc>
      </w:tr>
    </w:tbl>
    <w:p w14:paraId="581E15AB" w14:textId="77777777" w:rsidR="00714C9B" w:rsidRDefault="003F6FBD">
      <w:pPr>
        <w:spacing w:before="54" w:line="172" w:lineRule="exact"/>
        <w:ind w:left="106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Bestätigt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von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Industrielle</w:t>
      </w:r>
      <w:r>
        <w:rPr>
          <w:rFonts w:ascii="Theinhardt Bold" w:hAnsi="Theinhardt Bold"/>
          <w:b/>
          <w:color w:val="231F20"/>
          <w:sz w:val="14"/>
        </w:rPr>
        <w:t xml:space="preserve"> Werke </w:t>
      </w:r>
      <w:r>
        <w:rPr>
          <w:rFonts w:ascii="Theinhardt Bold" w:hAnsi="Theinhardt Bold"/>
          <w:b/>
          <w:color w:val="231F20"/>
          <w:spacing w:val="2"/>
          <w:sz w:val="14"/>
        </w:rPr>
        <w:t>Basel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2"/>
          <w:sz w:val="14"/>
        </w:rPr>
        <w:t>IWB</w:t>
      </w:r>
    </w:p>
    <w:p w14:paraId="153215A5" w14:textId="77777777" w:rsidR="00714C9B" w:rsidRDefault="003F6FBD">
      <w:pPr>
        <w:spacing w:line="172" w:lineRule="exact"/>
        <w:ind w:left="106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 xml:space="preserve">am </w:t>
      </w:r>
      <w:r>
        <w:rPr>
          <w:rFonts w:ascii="Theinhardt Regular"/>
          <w:color w:val="231F20"/>
          <w:spacing w:val="-1"/>
          <w:sz w:val="14"/>
        </w:rPr>
        <w:t>15.04.2020,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Danilo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Alfonsi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61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275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54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79</w:t>
      </w:r>
    </w:p>
    <w:p w14:paraId="3D750A39" w14:textId="77777777" w:rsidR="00714C9B" w:rsidRDefault="003F6FBD">
      <w:pPr>
        <w:spacing w:before="96" w:line="160" w:lineRule="exact"/>
        <w:ind w:left="106" w:right="108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Anm.:</w:t>
      </w:r>
      <w:r>
        <w:rPr>
          <w:rFonts w:ascii="Theinhardt Bold" w:hAnsi="Theinhardt Bold"/>
          <w:b/>
          <w:color w:val="231F20"/>
          <w:spacing w:val="6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Der</w:t>
      </w:r>
      <w:r>
        <w:rPr>
          <w:rFonts w:ascii="Theinhardt Regular" w:hAnsi="Theinhardt Regular"/>
          <w:color w:val="231F20"/>
          <w:spacing w:val="3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Solarertrag</w:t>
      </w:r>
      <w:r>
        <w:rPr>
          <w:rFonts w:ascii="Theinhardt Regular" w:hAnsi="Theinhardt Regular"/>
          <w:color w:val="231F20"/>
          <w:spacing w:val="3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war</w:t>
      </w:r>
      <w:r>
        <w:rPr>
          <w:rFonts w:ascii="Theinhardt Regular" w:hAnsi="Theinhardt Regular"/>
          <w:color w:val="231F20"/>
          <w:spacing w:val="3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in</w:t>
      </w:r>
      <w:r>
        <w:rPr>
          <w:rFonts w:ascii="Theinhardt Regular" w:hAnsi="Theinhardt Regular"/>
          <w:color w:val="231F20"/>
          <w:spacing w:val="3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der</w:t>
      </w:r>
      <w:r>
        <w:rPr>
          <w:rFonts w:ascii="Theinhardt Regular" w:hAnsi="Theinhardt Regular"/>
          <w:color w:val="231F20"/>
          <w:spacing w:val="3"/>
          <w:sz w:val="14"/>
        </w:rPr>
        <w:t xml:space="preserve"> </w:t>
      </w:r>
      <w:r>
        <w:rPr>
          <w:rFonts w:ascii="Theinhardt Regular" w:hAnsi="Theinhardt Regular"/>
          <w:color w:val="231F20"/>
          <w:spacing w:val="-4"/>
          <w:sz w:val="14"/>
        </w:rPr>
        <w:t>1.</w:t>
      </w:r>
      <w:r>
        <w:rPr>
          <w:rFonts w:ascii="Theinhardt Regular" w:hAnsi="Theinhardt Regular"/>
          <w:color w:val="231F20"/>
          <w:spacing w:val="3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Hälfte</w:t>
      </w:r>
      <w:r>
        <w:rPr>
          <w:rFonts w:ascii="Theinhardt Regular" w:hAnsi="Theinhardt Regular"/>
          <w:color w:val="231F20"/>
          <w:spacing w:val="3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2020</w:t>
      </w:r>
      <w:r>
        <w:rPr>
          <w:rFonts w:ascii="Theinhardt Regular" w:hAnsi="Theinhardt Regular"/>
          <w:color w:val="231F20"/>
          <w:spacing w:val="3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über-</w:t>
      </w:r>
      <w:r>
        <w:rPr>
          <w:rFonts w:ascii="Theinhardt Regular" w:hAnsi="Theinhardt Regular"/>
          <w:color w:val="231F20"/>
          <w:spacing w:val="4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durchschnittlich.</w:t>
      </w:r>
      <w:r>
        <w:rPr>
          <w:rFonts w:ascii="Theinhardt Regular" w:hAnsi="Theinhardt Regular"/>
          <w:color w:val="231F20"/>
          <w:spacing w:val="16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Alle</w:t>
      </w:r>
      <w:r>
        <w:rPr>
          <w:rFonts w:ascii="Theinhardt Regular" w:hAnsi="Theinhardt Regular"/>
          <w:color w:val="231F20"/>
          <w:spacing w:val="16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müssen</w:t>
      </w:r>
      <w:r>
        <w:rPr>
          <w:rFonts w:ascii="Theinhardt Regular" w:hAnsi="Theinhardt Regular"/>
          <w:color w:val="231F20"/>
          <w:spacing w:val="16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rechtsgleich</w:t>
      </w:r>
      <w:r>
        <w:rPr>
          <w:rFonts w:ascii="Theinhardt Regular" w:hAnsi="Theinhardt Regular"/>
          <w:color w:val="231F20"/>
          <w:spacing w:val="16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behandelt</w:t>
      </w:r>
      <w:r>
        <w:rPr>
          <w:rFonts w:ascii="Theinhardt Regular" w:hAnsi="Theinhardt Regular"/>
          <w:color w:val="231F20"/>
          <w:spacing w:val="5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werden</w:t>
      </w:r>
      <w:r>
        <w:rPr>
          <w:rFonts w:ascii="Theinhardt Regular" w:hAnsi="Theinhardt Regular"/>
          <w:color w:val="231F20"/>
          <w:sz w:val="14"/>
        </w:rPr>
        <w:t xml:space="preserve"> (vgl. </w:t>
      </w:r>
      <w:r>
        <w:rPr>
          <w:rFonts w:ascii="Theinhardt Regular" w:hAnsi="Theinhardt Regular"/>
          <w:color w:val="231F20"/>
          <w:spacing w:val="2"/>
          <w:sz w:val="14"/>
        </w:rPr>
        <w:t>Rechtsfragen,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S.</w:t>
      </w:r>
      <w:r>
        <w:rPr>
          <w:rFonts w:ascii="Theinhardt Regular" w:hAnsi="Theinhardt Regular"/>
          <w:color w:val="231F20"/>
          <w:sz w:val="14"/>
        </w:rPr>
        <w:t xml:space="preserve"> 44).</w:t>
      </w:r>
    </w:p>
    <w:p w14:paraId="4E15F7C9" w14:textId="77777777" w:rsidR="00714C9B" w:rsidRDefault="003F6FBD">
      <w:pPr>
        <w:spacing w:before="105"/>
        <w:ind w:left="106"/>
        <w:jc w:val="both"/>
        <w:rPr>
          <w:rFonts w:ascii="Theinhardt Black" w:eastAsia="Theinhardt Black" w:hAnsi="Theinhardt Black" w:cs="Theinhardt Black"/>
          <w:sz w:val="14"/>
          <w:szCs w:val="14"/>
        </w:rPr>
      </w:pPr>
      <w:r>
        <w:rPr>
          <w:rFonts w:ascii="Theinhardt Black"/>
          <w:b/>
          <w:color w:val="231F20"/>
          <w:spacing w:val="1"/>
          <w:sz w:val="14"/>
        </w:rPr>
        <w:t>Beteiligte</w:t>
      </w:r>
      <w:r>
        <w:rPr>
          <w:rFonts w:ascii="Theinhardt Black"/>
          <w:b/>
          <w:color w:val="231F20"/>
          <w:sz w:val="14"/>
        </w:rPr>
        <w:t xml:space="preserve"> Personen</w:t>
      </w:r>
    </w:p>
    <w:p w14:paraId="3BCFB402" w14:textId="77777777" w:rsidR="00714C9B" w:rsidRDefault="00714C9B">
      <w:pPr>
        <w:spacing w:before="9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2A399056" w14:textId="77777777" w:rsidR="00714C9B" w:rsidRDefault="003F6FBD">
      <w:pPr>
        <w:spacing w:line="20" w:lineRule="atLeast"/>
        <w:ind w:left="106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 w:eastAsia="Theinhardt Black" w:hAnsi="Theinhardt Black" w:cs="Theinhardt Black"/>
          <w:sz w:val="2"/>
          <w:szCs w:val="2"/>
        </w:rPr>
      </w:r>
      <w:r>
        <w:rPr>
          <w:rFonts w:ascii="Theinhardt Black" w:eastAsia="Theinhardt Black" w:hAnsi="Theinhardt Black" w:cs="Theinhardt Black"/>
          <w:sz w:val="2"/>
          <w:szCs w:val="2"/>
        </w:rPr>
        <w:pict w14:anchorId="080B36C6">
          <v:group id="_x0000_s1033" style="width:167.25pt;height:.45pt;mso-position-horizontal-relative:char;mso-position-vertical-relative:line" coordsize="3345,9">
            <v:group id="_x0000_s1038" style="position:absolute;left:21;top:4;width:3311;height:2" coordorigin="21,4" coordsize="3311,2">
              <v:shape id="_x0000_s1039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36" style="position:absolute;left:4;top:4;width:2;height:2" coordorigin="4,4" coordsize="2,2">
              <v:shape id="_x0000_s1037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34" style="position:absolute;left:3341;top:4;width:2;height:2" coordorigin="3341,4" coordsize="2,2">
              <v:shape id="_x0000_s1035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7D630463" w14:textId="77777777" w:rsidR="00714C9B" w:rsidRDefault="003F6FBD">
      <w:pPr>
        <w:spacing w:before="20" w:line="172" w:lineRule="exact"/>
        <w:ind w:left="106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Standort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des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Gebäudes</w:t>
      </w:r>
    </w:p>
    <w:p w14:paraId="5AAC3F4D" w14:textId="77777777" w:rsidR="00714C9B" w:rsidRDefault="003F6FBD">
      <w:pPr>
        <w:spacing w:line="172" w:lineRule="exact"/>
        <w:ind w:left="106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Moosweg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25,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5"/>
          <w:sz w:val="14"/>
        </w:rPr>
        <w:t>4125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Riehen</w:t>
      </w:r>
    </w:p>
    <w:p w14:paraId="1D055833" w14:textId="77777777" w:rsidR="00714C9B" w:rsidRDefault="003F6FBD">
      <w:pPr>
        <w:spacing w:before="32" w:line="172" w:lineRule="exact"/>
        <w:ind w:left="106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Architektur</w:t>
      </w:r>
    </w:p>
    <w:p w14:paraId="71154D3A" w14:textId="77777777" w:rsidR="00714C9B" w:rsidRDefault="003F6FBD">
      <w:pPr>
        <w:spacing w:before="6" w:line="207" w:lineRule="auto"/>
        <w:ind w:left="106" w:right="650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Felippi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Wyssen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Architekten</w:t>
      </w:r>
      <w:r>
        <w:rPr>
          <w:rFonts w:ascii="Theinhardt Regular"/>
          <w:color w:val="231F20"/>
          <w:spacing w:val="31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Habsburgerstrasse</w:t>
      </w:r>
      <w:r>
        <w:rPr>
          <w:rFonts w:ascii="Theinhardt Regular"/>
          <w:color w:val="231F20"/>
          <w:sz w:val="14"/>
        </w:rPr>
        <w:t xml:space="preserve"> 36, </w:t>
      </w:r>
      <w:r>
        <w:rPr>
          <w:rFonts w:ascii="Theinhardt Regular"/>
          <w:color w:val="231F20"/>
          <w:spacing w:val="1"/>
          <w:sz w:val="14"/>
        </w:rPr>
        <w:t>4055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Basel</w:t>
      </w:r>
    </w:p>
    <w:p w14:paraId="5940ACD2" w14:textId="77777777" w:rsidR="00714C9B" w:rsidRDefault="003F6FBD">
      <w:pPr>
        <w:spacing w:line="207" w:lineRule="auto"/>
        <w:ind w:left="106" w:right="165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Fabio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Felippi,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61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561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75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32</w:t>
      </w:r>
      <w:hyperlink r:id="rId6">
        <w:r>
          <w:rPr>
            <w:rFonts w:ascii="Theinhardt Regular"/>
            <w:color w:val="231F20"/>
            <w:spacing w:val="29"/>
            <w:sz w:val="14"/>
          </w:rPr>
          <w:t xml:space="preserve"> </w:t>
        </w:r>
        <w:r>
          <w:rPr>
            <w:rFonts w:ascii="Theinhardt Regular"/>
            <w:color w:val="231F20"/>
            <w:spacing w:val="1"/>
            <w:sz w:val="14"/>
          </w:rPr>
          <w:t>f.felippi@felippiwyssen.ch</w:t>
        </w:r>
      </w:hyperlink>
    </w:p>
    <w:p w14:paraId="2132CCC8" w14:textId="77777777" w:rsidR="00714C9B" w:rsidRDefault="003F6FBD">
      <w:pPr>
        <w:spacing w:before="38" w:line="172" w:lineRule="exact"/>
        <w:ind w:left="106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PV-Anlage</w:t>
      </w:r>
    </w:p>
    <w:p w14:paraId="34E6DBFD" w14:textId="77777777" w:rsidR="00714C9B" w:rsidRDefault="003F6FBD">
      <w:pPr>
        <w:spacing w:line="160" w:lineRule="exact"/>
        <w:ind w:left="106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Planeco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GmbH</w:t>
      </w:r>
    </w:p>
    <w:p w14:paraId="17924FC1" w14:textId="77777777" w:rsidR="00714C9B" w:rsidRDefault="003F6FBD">
      <w:pPr>
        <w:spacing w:line="160" w:lineRule="exact"/>
        <w:ind w:left="106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Tramstrasse</w:t>
      </w:r>
      <w:r>
        <w:rPr>
          <w:rFonts w:ascii="Theinhardt Regular" w:hAnsi="Theinhardt Regular"/>
          <w:color w:val="231F20"/>
          <w:sz w:val="14"/>
        </w:rPr>
        <w:t xml:space="preserve"> 66, </w:t>
      </w:r>
      <w:r>
        <w:rPr>
          <w:rFonts w:ascii="Theinhardt Regular" w:hAnsi="Theinhardt Regular"/>
          <w:color w:val="231F20"/>
          <w:spacing w:val="-5"/>
          <w:sz w:val="14"/>
        </w:rPr>
        <w:t>4142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Münchenstein</w:t>
      </w:r>
    </w:p>
    <w:p w14:paraId="630A6698" w14:textId="77777777" w:rsidR="00714C9B" w:rsidRDefault="003F6FBD">
      <w:pPr>
        <w:spacing w:before="6" w:line="207" w:lineRule="auto"/>
        <w:ind w:left="106" w:right="891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Roman</w:t>
      </w:r>
      <w:r>
        <w:rPr>
          <w:rFonts w:ascii="Theinhardt Regular"/>
          <w:color w:val="231F20"/>
          <w:sz w:val="14"/>
        </w:rPr>
        <w:t xml:space="preserve"> Brunner,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61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531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48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21</w:t>
      </w:r>
      <w:hyperlink r:id="rId7">
        <w:r>
          <w:rPr>
            <w:rFonts w:ascii="Theinhardt Regular"/>
            <w:color w:val="231F20"/>
            <w:spacing w:val="32"/>
            <w:sz w:val="14"/>
          </w:rPr>
          <w:t xml:space="preserve"> </w:t>
        </w:r>
        <w:r>
          <w:rPr>
            <w:rFonts w:ascii="Theinhardt Regular"/>
            <w:color w:val="231F20"/>
            <w:spacing w:val="1"/>
            <w:sz w:val="14"/>
          </w:rPr>
          <w:t>info@planeco.ch</w:t>
        </w:r>
      </w:hyperlink>
    </w:p>
    <w:p w14:paraId="210EBA00" w14:textId="77777777" w:rsidR="00714C9B" w:rsidRDefault="003F6FBD">
      <w:pPr>
        <w:spacing w:before="38" w:line="172" w:lineRule="exact"/>
        <w:ind w:left="106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Holzbau</w:t>
      </w:r>
    </w:p>
    <w:p w14:paraId="4D02513D" w14:textId="77777777" w:rsidR="00714C9B" w:rsidRDefault="003F6FBD">
      <w:pPr>
        <w:spacing w:before="6" w:line="207" w:lineRule="auto"/>
        <w:ind w:left="106" w:right="891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PM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Mangold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Holzbau</w:t>
      </w:r>
      <w:r>
        <w:rPr>
          <w:rFonts w:ascii="Theinhardt Regular"/>
          <w:color w:val="231F20"/>
          <w:sz w:val="14"/>
        </w:rPr>
        <w:t xml:space="preserve"> AG</w:t>
      </w:r>
      <w:r>
        <w:rPr>
          <w:rFonts w:ascii="Theinhardt Regular"/>
          <w:color w:val="231F20"/>
          <w:spacing w:val="30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Hemmikerstrasse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55,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4466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Ormalingen</w:t>
      </w:r>
    </w:p>
    <w:p w14:paraId="6CF376B0" w14:textId="77777777" w:rsidR="00714C9B" w:rsidRDefault="003F6FBD">
      <w:pPr>
        <w:spacing w:line="167" w:lineRule="exact"/>
        <w:ind w:left="106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61</w:t>
      </w:r>
      <w:r>
        <w:rPr>
          <w:rFonts w:ascii="Theinhardt Regular"/>
          <w:color w:val="231F20"/>
          <w:sz w:val="14"/>
        </w:rPr>
        <w:t xml:space="preserve"> 985 </w:t>
      </w:r>
      <w:r>
        <w:rPr>
          <w:rFonts w:ascii="Theinhardt Regular"/>
          <w:color w:val="231F20"/>
          <w:spacing w:val="-2"/>
          <w:sz w:val="14"/>
        </w:rPr>
        <w:t>91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00</w:t>
      </w:r>
      <w:hyperlink r:id="rId8">
        <w:r>
          <w:rPr>
            <w:rFonts w:ascii="Theinhardt Regular"/>
            <w:color w:val="231F20"/>
            <w:spacing w:val="1"/>
            <w:sz w:val="14"/>
          </w:rPr>
          <w:t>,</w:t>
        </w:r>
        <w:r>
          <w:rPr>
            <w:rFonts w:ascii="Theinhardt Regular"/>
            <w:color w:val="231F20"/>
            <w:sz w:val="14"/>
          </w:rPr>
          <w:t xml:space="preserve"> </w:t>
        </w:r>
        <w:r>
          <w:rPr>
            <w:rFonts w:ascii="Theinhardt Regular"/>
            <w:color w:val="231F20"/>
            <w:spacing w:val="1"/>
            <w:sz w:val="14"/>
          </w:rPr>
          <w:t>info@pm-holzbau.ch</w:t>
        </w:r>
      </w:hyperlink>
    </w:p>
    <w:p w14:paraId="531D1C7F" w14:textId="77777777" w:rsidR="00714C9B" w:rsidRDefault="00714C9B">
      <w:pPr>
        <w:spacing w:line="167" w:lineRule="exact"/>
        <w:jc w:val="both"/>
        <w:rPr>
          <w:rFonts w:ascii="Theinhardt Regular" w:eastAsia="Theinhardt Regular" w:hAnsi="Theinhardt Regular" w:cs="Theinhardt Regular"/>
          <w:sz w:val="14"/>
          <w:szCs w:val="14"/>
        </w:rPr>
        <w:sectPr w:rsidR="00714C9B">
          <w:type w:val="continuous"/>
          <w:pgSz w:w="11910" w:h="16840"/>
          <w:pgMar w:top="840" w:right="740" w:bottom="280" w:left="460" w:header="720" w:footer="720" w:gutter="0"/>
          <w:cols w:num="3" w:space="720" w:equalWidth="0">
            <w:col w:w="3463" w:space="109"/>
            <w:col w:w="3459" w:space="112"/>
            <w:col w:w="3567"/>
          </w:cols>
        </w:sectPr>
      </w:pPr>
    </w:p>
    <w:p w14:paraId="1EDB16F8" w14:textId="77777777" w:rsidR="00714C9B" w:rsidRDefault="00714C9B">
      <w:pPr>
        <w:spacing w:before="9"/>
        <w:rPr>
          <w:rFonts w:ascii="Theinhardt Regular" w:eastAsia="Theinhardt Regular" w:hAnsi="Theinhardt Regular" w:cs="Theinhardt Regular"/>
          <w:sz w:val="2"/>
          <w:szCs w:val="2"/>
        </w:rPr>
      </w:pPr>
    </w:p>
    <w:p w14:paraId="560CF1F9" w14:textId="77777777" w:rsidR="00714C9B" w:rsidRDefault="003F6FBD">
      <w:pPr>
        <w:spacing w:line="20" w:lineRule="atLeast"/>
        <w:ind w:left="7250"/>
        <w:rPr>
          <w:rFonts w:ascii="Theinhardt Regular" w:eastAsia="Theinhardt Regular" w:hAnsi="Theinhardt Regular" w:cs="Theinhardt Regular"/>
          <w:sz w:val="2"/>
          <w:szCs w:val="2"/>
        </w:rPr>
      </w:pPr>
      <w:r>
        <w:rPr>
          <w:rFonts w:ascii="Theinhardt Regular" w:eastAsia="Theinhardt Regular" w:hAnsi="Theinhardt Regular" w:cs="Theinhardt Regular"/>
          <w:sz w:val="2"/>
          <w:szCs w:val="2"/>
        </w:rPr>
      </w:r>
      <w:r>
        <w:rPr>
          <w:rFonts w:ascii="Theinhardt Regular" w:eastAsia="Theinhardt Regular" w:hAnsi="Theinhardt Regular" w:cs="Theinhardt Regular"/>
          <w:sz w:val="2"/>
          <w:szCs w:val="2"/>
        </w:rPr>
        <w:pict w14:anchorId="26C1BF62">
          <v:group id="_x0000_s1026" style="width:167.25pt;height:.45pt;mso-position-horizontal-relative:char;mso-position-vertical-relative:line" coordsize="3345,9">
            <v:group id="_x0000_s1031" style="position:absolute;left:21;top:4;width:3311;height:2" coordorigin="21,4" coordsize="3311,2">
              <v:shape id="_x0000_s1032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29" style="position:absolute;left:4;top:4;width:2;height:2" coordorigin="4,4" coordsize="2,2">
              <v:shape id="_x0000_s1030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27" style="position:absolute;left:3341;top:4;width:2;height:2" coordorigin="3341,4" coordsize="2,2">
              <v:shape id="_x0000_s1028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49ABBB0B" w14:textId="77777777" w:rsidR="00714C9B" w:rsidRDefault="00714C9B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5C3369D0" w14:textId="77777777" w:rsidR="00714C9B" w:rsidRDefault="00714C9B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3B6F4214" w14:textId="77777777" w:rsidR="00714C9B" w:rsidRDefault="00714C9B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3646DA39" w14:textId="77777777" w:rsidR="00714C9B" w:rsidRDefault="00714C9B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572E9832" w14:textId="77777777" w:rsidR="00714C9B" w:rsidRDefault="00714C9B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319187B0" w14:textId="77777777" w:rsidR="00714C9B" w:rsidRDefault="00714C9B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370F3664" w14:textId="77777777" w:rsidR="00714C9B" w:rsidRDefault="00714C9B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5DA670CB" w14:textId="77777777" w:rsidR="00714C9B" w:rsidRDefault="00714C9B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55420D1D" w14:textId="77777777" w:rsidR="00714C9B" w:rsidRDefault="00714C9B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61FDE48E" w14:textId="77777777" w:rsidR="00714C9B" w:rsidRDefault="00714C9B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6435FF50" w14:textId="77777777" w:rsidR="00714C9B" w:rsidRDefault="00714C9B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06909734" w14:textId="77777777" w:rsidR="00714C9B" w:rsidRDefault="00714C9B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74055205" w14:textId="77777777" w:rsidR="00714C9B" w:rsidRDefault="00714C9B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0B28897F" w14:textId="77777777" w:rsidR="00714C9B" w:rsidRDefault="00714C9B">
      <w:pPr>
        <w:spacing w:before="5"/>
        <w:rPr>
          <w:rFonts w:ascii="Theinhardt Regular" w:eastAsia="Theinhardt Regular" w:hAnsi="Theinhardt Regular" w:cs="Theinhardt Regular"/>
          <w:sz w:val="19"/>
          <w:szCs w:val="19"/>
        </w:rPr>
      </w:pPr>
    </w:p>
    <w:p w14:paraId="2D2F9465" w14:textId="77777777" w:rsidR="00714C9B" w:rsidRDefault="003F6FBD">
      <w:pPr>
        <w:spacing w:before="70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 xml:space="preserve">28    </w:t>
      </w:r>
      <w:r>
        <w:rPr>
          <w:rFonts w:ascii="Theinhardt Heavy"/>
          <w:b/>
          <w:color w:val="231F20"/>
          <w:spacing w:val="7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 xml:space="preserve"> 2020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 xml:space="preserve"> 2020</w:t>
      </w:r>
    </w:p>
    <w:p w14:paraId="155CB691" w14:textId="77777777" w:rsidR="00714C9B" w:rsidRDefault="00714C9B">
      <w:pPr>
        <w:rPr>
          <w:rFonts w:ascii="Theinhardt Regular" w:eastAsia="Theinhardt Regular" w:hAnsi="Theinhardt Regular" w:cs="Theinhardt Regular"/>
          <w:sz w:val="14"/>
          <w:szCs w:val="14"/>
        </w:rPr>
        <w:sectPr w:rsidR="00714C9B">
          <w:type w:val="continuous"/>
          <w:pgSz w:w="11910" w:h="16840"/>
          <w:pgMar w:top="840" w:right="740" w:bottom="280" w:left="460" w:header="720" w:footer="720" w:gutter="0"/>
          <w:cols w:space="720"/>
        </w:sectPr>
      </w:pPr>
    </w:p>
    <w:p w14:paraId="20D4A448" w14:textId="77777777" w:rsidR="00714C9B" w:rsidRDefault="00714C9B">
      <w:pPr>
        <w:spacing w:before="4"/>
        <w:rPr>
          <w:rFonts w:ascii="Theinhardt Regular" w:eastAsia="Theinhardt Regular" w:hAnsi="Theinhardt Regular" w:cs="Theinhardt Regular"/>
          <w:sz w:val="6"/>
          <w:szCs w:val="6"/>
        </w:rPr>
      </w:pPr>
    </w:p>
    <w:p w14:paraId="18AF1C33" w14:textId="77777777" w:rsidR="00714C9B" w:rsidRDefault="003F6FBD">
      <w:pPr>
        <w:spacing w:line="200" w:lineRule="atLeast"/>
        <w:ind w:left="110"/>
        <w:rPr>
          <w:rFonts w:ascii="Theinhardt Regular" w:eastAsia="Theinhardt Regular" w:hAnsi="Theinhardt Regular" w:cs="Theinhardt Regular"/>
          <w:sz w:val="20"/>
          <w:szCs w:val="20"/>
        </w:rPr>
      </w:pPr>
      <w:r>
        <w:rPr>
          <w:rFonts w:ascii="Theinhardt Regular" w:eastAsia="Theinhardt Regular" w:hAnsi="Theinhardt Regular" w:cs="Theinhardt Regular"/>
          <w:noProof/>
          <w:sz w:val="20"/>
          <w:szCs w:val="20"/>
        </w:rPr>
        <w:drawing>
          <wp:inline distT="0" distB="0" distL="0" distR="0" wp14:anchorId="71D7E518" wp14:editId="027CC967">
            <wp:extent cx="6426692" cy="2706338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692" cy="270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9934B" w14:textId="77777777" w:rsidR="00714C9B" w:rsidRDefault="00714C9B">
      <w:pPr>
        <w:spacing w:before="5"/>
        <w:rPr>
          <w:rFonts w:ascii="Theinhardt Regular" w:eastAsia="Theinhardt Regular" w:hAnsi="Theinhardt Regular" w:cs="Theinhardt Regular"/>
          <w:sz w:val="7"/>
          <w:szCs w:val="7"/>
        </w:rPr>
      </w:pPr>
    </w:p>
    <w:p w14:paraId="05F451A8" w14:textId="77777777" w:rsidR="00714C9B" w:rsidRDefault="003F6FBD">
      <w:pPr>
        <w:spacing w:before="68"/>
        <w:ind w:left="122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</w:p>
    <w:p w14:paraId="08ED505C" w14:textId="77777777" w:rsidR="00714C9B" w:rsidRDefault="00714C9B">
      <w:pPr>
        <w:spacing w:before="1"/>
        <w:rPr>
          <w:rFonts w:ascii="Theinhardt Bold" w:eastAsia="Theinhardt Bold" w:hAnsi="Theinhardt Bold" w:cs="Theinhardt Bold"/>
          <w:b/>
          <w:bCs/>
          <w:sz w:val="3"/>
          <w:szCs w:val="3"/>
        </w:rPr>
      </w:pPr>
    </w:p>
    <w:p w14:paraId="133080FD" w14:textId="77777777" w:rsidR="00714C9B" w:rsidRDefault="003F6FBD">
      <w:pPr>
        <w:tabs>
          <w:tab w:val="left" w:pos="5465"/>
        </w:tabs>
        <w:spacing w:line="200" w:lineRule="atLeast"/>
        <w:ind w:left="107"/>
        <w:rPr>
          <w:rFonts w:ascii="Theinhardt Bold" w:eastAsia="Theinhardt Bold" w:hAnsi="Theinhardt Bold" w:cs="Theinhardt Bold"/>
          <w:sz w:val="20"/>
          <w:szCs w:val="20"/>
        </w:rPr>
      </w:pPr>
      <w:r>
        <w:rPr>
          <w:rFonts w:ascii="Theinhardt Bold"/>
          <w:noProof/>
          <w:sz w:val="20"/>
        </w:rPr>
        <w:drawing>
          <wp:inline distT="0" distB="0" distL="0" distR="0" wp14:anchorId="08471551" wp14:editId="2A096DF1">
            <wp:extent cx="3263005" cy="2279904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005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  <w:tab/>
      </w:r>
      <w:r>
        <w:rPr>
          <w:rFonts w:ascii="Theinhardt Bold"/>
          <w:noProof/>
          <w:sz w:val="20"/>
        </w:rPr>
        <w:drawing>
          <wp:inline distT="0" distB="0" distL="0" distR="0" wp14:anchorId="46CB72C9" wp14:editId="05FF551D">
            <wp:extent cx="3262137" cy="2279904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2137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119CA" w14:textId="77777777" w:rsidR="00714C9B" w:rsidRDefault="003F6FBD">
      <w:pPr>
        <w:tabs>
          <w:tab w:val="left" w:pos="5477"/>
        </w:tabs>
        <w:spacing w:before="11"/>
        <w:ind w:left="107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</w:r>
      <w:r>
        <w:rPr>
          <w:rFonts w:ascii="Theinhardt Bold"/>
          <w:b/>
          <w:color w:val="231F20"/>
          <w:sz w:val="14"/>
        </w:rPr>
        <w:tab/>
        <w:t>3</w:t>
      </w:r>
    </w:p>
    <w:p w14:paraId="5ED736D8" w14:textId="77777777" w:rsidR="00714C9B" w:rsidRDefault="00714C9B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015FDBDB" w14:textId="77777777" w:rsidR="00714C9B" w:rsidRDefault="00714C9B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55821CCD" w14:textId="77777777" w:rsidR="00714C9B" w:rsidRDefault="00714C9B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7B97BFCF" w14:textId="77777777" w:rsidR="00714C9B" w:rsidRDefault="00714C9B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07A65D9E" w14:textId="77777777" w:rsidR="00714C9B" w:rsidRDefault="00714C9B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14621BCA" w14:textId="77777777" w:rsidR="00714C9B" w:rsidRDefault="00714C9B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12D0E05D" w14:textId="77777777" w:rsidR="00714C9B" w:rsidRDefault="00714C9B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723C0A4D" w14:textId="77777777" w:rsidR="00714C9B" w:rsidRDefault="00714C9B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046426DC" w14:textId="77777777" w:rsidR="00714C9B" w:rsidRDefault="00714C9B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11337534" w14:textId="77777777" w:rsidR="00714C9B" w:rsidRDefault="00714C9B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7E2416F7" w14:textId="77777777" w:rsidR="00714C9B" w:rsidRDefault="00714C9B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49920215" w14:textId="77777777" w:rsidR="00714C9B" w:rsidRDefault="00714C9B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0166BF51" w14:textId="77777777" w:rsidR="00714C9B" w:rsidRDefault="00714C9B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5DC6382D" w14:textId="77777777" w:rsidR="00714C9B" w:rsidRDefault="00714C9B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18660791" w14:textId="77777777" w:rsidR="00714C9B" w:rsidRDefault="00714C9B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1D3D163A" w14:textId="77777777" w:rsidR="00714C9B" w:rsidRDefault="00714C9B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4B8A6CA9" w14:textId="77777777" w:rsidR="00714C9B" w:rsidRDefault="00714C9B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18777513" w14:textId="77777777" w:rsidR="00714C9B" w:rsidRDefault="00714C9B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39D32009" w14:textId="77777777" w:rsidR="00714C9B" w:rsidRDefault="00714C9B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7380D3B5" w14:textId="77777777" w:rsidR="00714C9B" w:rsidRDefault="00714C9B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3046A9CF" w14:textId="77777777" w:rsidR="00714C9B" w:rsidRDefault="00714C9B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21ED4923" w14:textId="77777777" w:rsidR="00714C9B" w:rsidRDefault="00714C9B">
      <w:pPr>
        <w:spacing w:before="12"/>
        <w:rPr>
          <w:rFonts w:ascii="Theinhardt Bold" w:eastAsia="Theinhardt Bold" w:hAnsi="Theinhardt Bold" w:cs="Theinhardt Bold"/>
          <w:b/>
          <w:bCs/>
          <w:sz w:val="16"/>
          <w:szCs w:val="16"/>
        </w:rPr>
      </w:pPr>
    </w:p>
    <w:p w14:paraId="271B7C83" w14:textId="77777777" w:rsidR="00714C9B" w:rsidRDefault="00714C9B">
      <w:pPr>
        <w:rPr>
          <w:rFonts w:ascii="Theinhardt Bold" w:eastAsia="Theinhardt Bold" w:hAnsi="Theinhardt Bold" w:cs="Theinhardt Bold"/>
          <w:sz w:val="16"/>
          <w:szCs w:val="16"/>
        </w:rPr>
        <w:sectPr w:rsidR="00714C9B">
          <w:pgSz w:w="11910" w:h="16840"/>
          <w:pgMar w:top="860" w:right="460" w:bottom="280" w:left="740" w:header="720" w:footer="720" w:gutter="0"/>
          <w:cols w:space="720"/>
        </w:sectPr>
      </w:pPr>
    </w:p>
    <w:p w14:paraId="64847B4A" w14:textId="77777777" w:rsidR="00714C9B" w:rsidRDefault="003F6FBD">
      <w:pPr>
        <w:numPr>
          <w:ilvl w:val="0"/>
          <w:numId w:val="1"/>
        </w:numPr>
        <w:tabs>
          <w:tab w:val="left" w:pos="335"/>
        </w:tabs>
        <w:spacing w:before="77" w:line="160" w:lineRule="exact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Das 20.8 kW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starke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Solardach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erzeugt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21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’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500</w:t>
      </w:r>
      <w:r>
        <w:rPr>
          <w:rFonts w:ascii="Theinhardt Bold" w:eastAsia="Theinhardt Bold" w:hAnsi="Theinhardt Bold" w:cs="Theinhardt Bold"/>
          <w:b/>
          <w:bCs/>
          <w:color w:val="231F20"/>
          <w:spacing w:val="21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4"/>
          <w:szCs w:val="14"/>
        </w:rPr>
        <w:t>kWh/a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Solarstrom.</w:t>
      </w:r>
    </w:p>
    <w:p w14:paraId="497AAD95" w14:textId="77777777" w:rsidR="00714C9B" w:rsidRDefault="003F6FBD">
      <w:pPr>
        <w:numPr>
          <w:ilvl w:val="0"/>
          <w:numId w:val="1"/>
        </w:numPr>
        <w:tabs>
          <w:tab w:val="left" w:pos="335"/>
        </w:tabs>
        <w:spacing w:before="77" w:line="160" w:lineRule="exact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br w:type="column"/>
      </w:r>
      <w:r>
        <w:rPr>
          <w:rFonts w:ascii="Theinhardt Bold" w:hAnsi="Theinhardt Bold"/>
          <w:b/>
          <w:color w:val="231F20"/>
          <w:spacing w:val="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grosse</w:t>
      </w:r>
      <w:r>
        <w:rPr>
          <w:rFonts w:ascii="Theinhardt Bold" w:hAnsi="Theinhardt Bold"/>
          <w:b/>
          <w:color w:val="231F20"/>
          <w:sz w:val="14"/>
        </w:rPr>
        <w:t xml:space="preserve"> Dachüberstand sorgt für eine</w:t>
      </w:r>
      <w:r>
        <w:rPr>
          <w:rFonts w:ascii="Theinhardt Bold" w:hAnsi="Theinhardt Bold"/>
          <w:b/>
          <w:color w:val="231F20"/>
          <w:spacing w:val="25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Verschattung</w:t>
      </w:r>
      <w:r>
        <w:rPr>
          <w:rFonts w:ascii="Theinhardt Bold" w:hAnsi="Theinhardt Bold"/>
          <w:b/>
          <w:color w:val="231F20"/>
          <w:sz w:val="14"/>
        </w:rPr>
        <w:t xml:space="preserve"> im Sommer und ermöglicht</w:t>
      </w:r>
      <w:r>
        <w:rPr>
          <w:rFonts w:ascii="Theinhardt Bold" w:hAnsi="Theinhardt Bold"/>
          <w:b/>
          <w:color w:val="231F20"/>
          <w:spacing w:val="24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trotzdem</w:t>
      </w:r>
      <w:r>
        <w:rPr>
          <w:rFonts w:ascii="Theinhardt Bold" w:hAnsi="Theinhardt Bold"/>
          <w:b/>
          <w:color w:val="231F20"/>
          <w:sz w:val="14"/>
        </w:rPr>
        <w:t xml:space="preserve"> eine </w:t>
      </w:r>
      <w:r>
        <w:rPr>
          <w:rFonts w:ascii="Theinhardt Bold" w:hAnsi="Theinhardt Bold"/>
          <w:b/>
          <w:color w:val="231F20"/>
          <w:spacing w:val="-1"/>
          <w:sz w:val="14"/>
        </w:rPr>
        <w:t>solare</w:t>
      </w:r>
      <w:r>
        <w:rPr>
          <w:rFonts w:ascii="Theinhardt Bold" w:hAnsi="Theinhardt Bold"/>
          <w:b/>
          <w:color w:val="231F20"/>
          <w:sz w:val="14"/>
        </w:rPr>
        <w:t xml:space="preserve"> Passivnutzung </w:t>
      </w:r>
      <w:r>
        <w:rPr>
          <w:rFonts w:ascii="Theinhardt Bold" w:hAnsi="Theinhardt Bold"/>
          <w:b/>
          <w:color w:val="231F20"/>
          <w:spacing w:val="-1"/>
          <w:sz w:val="14"/>
        </w:rPr>
        <w:t>durch</w:t>
      </w:r>
    </w:p>
    <w:p w14:paraId="026215F5" w14:textId="77777777" w:rsidR="00714C9B" w:rsidRDefault="003F6FBD">
      <w:pPr>
        <w:spacing w:before="70" w:line="172" w:lineRule="exact"/>
        <w:ind w:left="334"/>
        <w:rPr>
          <w:rFonts w:ascii="Theinhardt Bold" w:eastAsia="Theinhardt Bold" w:hAnsi="Theinhardt Bold" w:cs="Theinhardt Bold"/>
          <w:sz w:val="14"/>
          <w:szCs w:val="14"/>
        </w:rPr>
      </w:pPr>
      <w:r>
        <w:br w:type="column"/>
      </w:r>
      <w:r>
        <w:rPr>
          <w:rFonts w:ascii="Theinhardt Bold"/>
          <w:b/>
          <w:color w:val="231F20"/>
          <w:spacing w:val="-1"/>
          <w:sz w:val="14"/>
        </w:rPr>
        <w:t>die</w:t>
      </w:r>
      <w:r>
        <w:rPr>
          <w:rFonts w:ascii="Theinhardt Bold"/>
          <w:b/>
          <w:color w:val="231F20"/>
          <w:sz w:val="14"/>
        </w:rPr>
        <w:t xml:space="preserve"> Fensterfront.</w:t>
      </w:r>
    </w:p>
    <w:p w14:paraId="07F10FE7" w14:textId="77777777" w:rsidR="00714C9B" w:rsidRDefault="003F6FBD">
      <w:pPr>
        <w:numPr>
          <w:ilvl w:val="0"/>
          <w:numId w:val="1"/>
        </w:numPr>
        <w:tabs>
          <w:tab w:val="left" w:pos="335"/>
        </w:tabs>
        <w:spacing w:before="6" w:line="207" w:lineRule="auto"/>
        <w:ind w:right="396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 xml:space="preserve">Die PV-Anlage </w:t>
      </w:r>
      <w:r>
        <w:rPr>
          <w:rFonts w:ascii="Theinhardt Bold" w:hAnsi="Theinhardt Bold"/>
          <w:b/>
          <w:color w:val="231F20"/>
          <w:spacing w:val="-1"/>
          <w:sz w:val="14"/>
        </w:rPr>
        <w:t>ist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durch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die</w:t>
      </w:r>
      <w:r>
        <w:rPr>
          <w:rFonts w:ascii="Theinhardt Bold" w:hAnsi="Theinhardt Bold"/>
          <w:b/>
          <w:color w:val="231F20"/>
          <w:sz w:val="14"/>
        </w:rPr>
        <w:t xml:space="preserve"> Montage auf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pacing w:val="30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Holz-Dachlattung gut hinterlüftet.</w:t>
      </w:r>
    </w:p>
    <w:p w14:paraId="45FBD7BA" w14:textId="77777777" w:rsidR="00714C9B" w:rsidRDefault="00714C9B">
      <w:pPr>
        <w:spacing w:line="207" w:lineRule="auto"/>
        <w:rPr>
          <w:rFonts w:ascii="Theinhardt Bold" w:eastAsia="Theinhardt Bold" w:hAnsi="Theinhardt Bold" w:cs="Theinhardt Bold"/>
          <w:sz w:val="14"/>
          <w:szCs w:val="14"/>
        </w:rPr>
        <w:sectPr w:rsidR="00714C9B">
          <w:type w:val="continuous"/>
          <w:pgSz w:w="11910" w:h="16840"/>
          <w:pgMar w:top="840" w:right="460" w:bottom="280" w:left="740" w:header="720" w:footer="720" w:gutter="0"/>
          <w:cols w:num="3" w:space="720" w:equalWidth="0">
            <w:col w:w="3271" w:space="300"/>
            <w:col w:w="3027" w:space="545"/>
            <w:col w:w="3567"/>
          </w:cols>
        </w:sectPr>
      </w:pPr>
    </w:p>
    <w:p w14:paraId="698FDDFD" w14:textId="77777777" w:rsidR="00714C9B" w:rsidRDefault="00714C9B">
      <w:pPr>
        <w:spacing w:before="3"/>
        <w:rPr>
          <w:rFonts w:ascii="Theinhardt Bold" w:eastAsia="Theinhardt Bold" w:hAnsi="Theinhardt Bold" w:cs="Theinhardt Bold"/>
          <w:b/>
          <w:bCs/>
          <w:sz w:val="29"/>
          <w:szCs w:val="29"/>
        </w:rPr>
      </w:pPr>
    </w:p>
    <w:p w14:paraId="4F442540" w14:textId="77777777" w:rsidR="00714C9B" w:rsidRDefault="003F6FBD">
      <w:pPr>
        <w:spacing w:before="70"/>
        <w:ind w:left="6666"/>
        <w:rPr>
          <w:rFonts w:ascii="Theinhardt Heavy" w:eastAsia="Theinhardt Heavy" w:hAnsi="Theinhardt Heavy" w:cs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 xml:space="preserve"> 2020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 xml:space="preserve"> 2020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Heavy"/>
          <w:b/>
          <w:color w:val="231F20"/>
          <w:sz w:val="14"/>
        </w:rPr>
        <w:t>29</w:t>
      </w:r>
    </w:p>
    <w:sectPr w:rsidR="00714C9B">
      <w:type w:val="continuous"/>
      <w:pgSz w:w="11910" w:h="16840"/>
      <w:pgMar w:top="840" w:right="46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einhardt Bold">
    <w:panose1 w:val="020B0804020202020204"/>
    <w:charset w:val="00"/>
    <w:family w:val="swiss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heinhardt Regular">
    <w:panose1 w:val="020B050302020202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Black">
    <w:panose1 w:val="020B0A04020202020204"/>
    <w:charset w:val="00"/>
    <w:family w:val="swiss"/>
    <w:notTrueType/>
    <w:pitch w:val="variable"/>
    <w:sig w:usb0="A00000AF" w:usb1="4000206A" w:usb2="00000000" w:usb3="00000000" w:csb0="00000093" w:csb1="00000000"/>
  </w:font>
  <w:font w:name="Theinhardt Regular Italic">
    <w:altName w:val="Theinhardt Regular Italic"/>
    <w:panose1 w:val="020B0503020202090204"/>
    <w:charset w:val="00"/>
    <w:family w:val="swiss"/>
    <w:notTrueType/>
    <w:pitch w:val="variable"/>
    <w:sig w:usb0="00000007" w:usb1="00000000" w:usb2="00000000" w:usb3="00000000" w:csb0="00000093" w:csb1="00000000"/>
  </w:font>
  <w:font w:name="Theinhardt Heavy">
    <w:altName w:val="Theinhardt Heavy"/>
    <w:panose1 w:val="020B0903020202020204"/>
    <w:charset w:val="00"/>
    <w:family w:val="swiss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400282"/>
    <w:multiLevelType w:val="hybridMultilevel"/>
    <w:tmpl w:val="D0E8D1E6"/>
    <w:lvl w:ilvl="0" w:tplc="130631FE">
      <w:start w:val="1"/>
      <w:numFmt w:val="decimal"/>
      <w:lvlText w:val="%1"/>
      <w:lvlJc w:val="left"/>
      <w:pPr>
        <w:ind w:left="334" w:hanging="227"/>
        <w:jc w:val="left"/>
      </w:pPr>
      <w:rPr>
        <w:rFonts w:ascii="Theinhardt Bold" w:eastAsia="Theinhardt Bold" w:hAnsi="Theinhardt Bold" w:hint="default"/>
        <w:b/>
        <w:bCs/>
        <w:color w:val="231F20"/>
        <w:sz w:val="14"/>
        <w:szCs w:val="14"/>
      </w:rPr>
    </w:lvl>
    <w:lvl w:ilvl="1" w:tplc="28A48430">
      <w:start w:val="1"/>
      <w:numFmt w:val="bullet"/>
      <w:lvlText w:val="•"/>
      <w:lvlJc w:val="left"/>
      <w:pPr>
        <w:ind w:left="628" w:hanging="227"/>
      </w:pPr>
      <w:rPr>
        <w:rFonts w:hint="default"/>
      </w:rPr>
    </w:lvl>
    <w:lvl w:ilvl="2" w:tplc="B7024A32">
      <w:start w:val="1"/>
      <w:numFmt w:val="bullet"/>
      <w:lvlText w:val="•"/>
      <w:lvlJc w:val="left"/>
      <w:pPr>
        <w:ind w:left="921" w:hanging="227"/>
      </w:pPr>
      <w:rPr>
        <w:rFonts w:hint="default"/>
      </w:rPr>
    </w:lvl>
    <w:lvl w:ilvl="3" w:tplc="C1BE0802">
      <w:start w:val="1"/>
      <w:numFmt w:val="bullet"/>
      <w:lvlText w:val="•"/>
      <w:lvlJc w:val="left"/>
      <w:pPr>
        <w:ind w:left="1215" w:hanging="227"/>
      </w:pPr>
      <w:rPr>
        <w:rFonts w:hint="default"/>
      </w:rPr>
    </w:lvl>
    <w:lvl w:ilvl="4" w:tplc="8F66E7FC">
      <w:start w:val="1"/>
      <w:numFmt w:val="bullet"/>
      <w:lvlText w:val="•"/>
      <w:lvlJc w:val="left"/>
      <w:pPr>
        <w:ind w:left="1509" w:hanging="227"/>
      </w:pPr>
      <w:rPr>
        <w:rFonts w:hint="default"/>
      </w:rPr>
    </w:lvl>
    <w:lvl w:ilvl="5" w:tplc="674E74E6">
      <w:start w:val="1"/>
      <w:numFmt w:val="bullet"/>
      <w:lvlText w:val="•"/>
      <w:lvlJc w:val="left"/>
      <w:pPr>
        <w:ind w:left="1802" w:hanging="227"/>
      </w:pPr>
      <w:rPr>
        <w:rFonts w:hint="default"/>
      </w:rPr>
    </w:lvl>
    <w:lvl w:ilvl="6" w:tplc="297497B6">
      <w:start w:val="1"/>
      <w:numFmt w:val="bullet"/>
      <w:lvlText w:val="•"/>
      <w:lvlJc w:val="left"/>
      <w:pPr>
        <w:ind w:left="2096" w:hanging="227"/>
      </w:pPr>
      <w:rPr>
        <w:rFonts w:hint="default"/>
      </w:rPr>
    </w:lvl>
    <w:lvl w:ilvl="7" w:tplc="9CCCCA8C">
      <w:start w:val="1"/>
      <w:numFmt w:val="bullet"/>
      <w:lvlText w:val="•"/>
      <w:lvlJc w:val="left"/>
      <w:pPr>
        <w:ind w:left="2389" w:hanging="227"/>
      </w:pPr>
      <w:rPr>
        <w:rFonts w:hint="default"/>
      </w:rPr>
    </w:lvl>
    <w:lvl w:ilvl="8" w:tplc="F9168456">
      <w:start w:val="1"/>
      <w:numFmt w:val="bullet"/>
      <w:lvlText w:val="•"/>
      <w:lvlJc w:val="left"/>
      <w:pPr>
        <w:ind w:left="2683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4C9B"/>
    <w:rsid w:val="003F6FBD"/>
    <w:rsid w:val="00714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."/>
  <w:listSeparator w:val=";"/>
  <w14:docId w14:val="19FF40BD"/>
  <w15:docId w15:val="{67A5EBD0-33C4-4BAB-B770-AF4600311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uiPriority w:val="9"/>
    <w:qFormat/>
    <w:pPr>
      <w:spacing w:before="28"/>
      <w:ind w:left="106"/>
      <w:outlineLvl w:val="0"/>
    </w:pPr>
    <w:rPr>
      <w:rFonts w:ascii="Theinhardt Bold" w:eastAsia="Theinhardt Bold" w:hAnsi="Theinhardt Bold"/>
      <w:b/>
      <w:bCs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106"/>
    </w:pPr>
    <w:rPr>
      <w:rFonts w:ascii="Theinhardt Regular" w:eastAsia="Theinhardt Regular" w:hAnsi="Theinhardt Regular"/>
      <w:sz w:val="18"/>
      <w:szCs w:val="18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pm-holzbau.ch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fo@planeco.ch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f.felippi@felippiwyssen.ch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614</Words>
  <Characters>3870</Characters>
  <Application>Microsoft Office Word</Application>
  <DocSecurity>0</DocSecurity>
  <Lines>32</Lines>
  <Paragraphs>8</Paragraphs>
  <ScaleCrop>false</ScaleCrop>
  <Company/>
  <LinksUpToDate>false</LinksUpToDate>
  <CharactersWithSpaces>4476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SGS</cp:lastModifiedBy>
  <cp:revision>2</cp:revision>
  <dcterms:created xsi:type="dcterms:W3CDTF">2020-10-07T10:42:00Z</dcterms:created>
  <dcterms:modified xsi:type="dcterms:W3CDTF">2020-10-07T13:41:00Z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2020-10-07T00:00:00Z</vt:filetime>
  </property>
  <property fmtid="{D5CDD505-2E9C-101B-9397-08002B2CF9AE}" pid="3" name="LastSaved">
    <vt:filetime>2020-10-07T00:00:00Z</vt:filetime>
  </property>
</Properties>
</file>