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BB4E" w14:textId="77777777" w:rsidR="00915CAD" w:rsidRDefault="00674223">
      <w:pPr>
        <w:tabs>
          <w:tab w:val="left" w:pos="2546"/>
        </w:tabs>
        <w:spacing w:before="2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599D8127">
          <v:group id="_x0000_s1055" style="position:absolute;left:0;text-align:left;margin-left:28.55pt;margin-top:13.65pt;width:.1pt;height:.1pt;z-index:-4792;mso-position-horizontal-relative:page" coordorigin="571,273" coordsize="2,2">
            <v:shape id="_x0000_s1056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0A70A796">
          <v:group id="_x0000_s1053" style="position:absolute;left:0;text-align:left;margin-left:150.75pt;margin-top:13.65pt;width:.1pt;height:.1pt;z-index:1120;mso-position-horizontal-relative:page" coordorigin="3015,273" coordsize="2,2">
            <v:shape id="_x0000_s1054" style="position:absolute;left:3015;top:273;width:2;height:2" coordorigin="3015,273" coordsize="0,0" path="m3015,273r,e" filled="f" strokecolor="#231f20" strokeweight=".14994mm">
              <v:path arrowok="t"/>
            </v:shape>
            <w10:wrap anchorx="page"/>
          </v:group>
        </w:pict>
      </w:r>
      <w:r>
        <w:pict w14:anchorId="1ED9E6FB">
          <v:group id="_x0000_s1051" style="position:absolute;left:0;text-align:left;margin-left:28.55pt;margin-top:25.15pt;width:.1pt;height:.1pt;z-index:-4744;mso-position-horizontal-relative:page" coordorigin="571,503" coordsize="2,2">
            <v:shape id="_x0000_s1052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287EFB95">
          <v:group id="_x0000_s1049" style="position:absolute;left:0;text-align:left;margin-left:150.75pt;margin-top:25.15pt;width:.1pt;height:.1pt;z-index:1168;mso-position-horizontal-relative:page" coordorigin="3015,503" coordsize="2,2">
            <v:shape id="_x0000_s1050" style="position:absolute;left:3015;top:503;width:2;height:2" coordorigin="3015,503" coordsize="0,0" path="m3015,503r,e" filled="f" strokecolor="#231f20" strokeweight=".14994mm">
              <v:path arrowok="t"/>
            </v:shape>
            <w10:wrap anchorx="page"/>
          </v:group>
        </w:pict>
      </w:r>
      <w:r>
        <w:pict w14:anchorId="2A865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8.35pt;margin-top:53pt;width:82.2pt;height:60.2pt;z-index:1192;mso-position-horizontal-relative:page">
            <v:imagedata r:id="rId5" o:title=""/>
            <w10:wrap anchorx="page"/>
          </v:shape>
        </w:pic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2020</w:t>
      </w:r>
    </w:p>
    <w:p w14:paraId="792F8948" w14:textId="77777777" w:rsidR="00915CAD" w:rsidRDefault="00674223">
      <w:pPr>
        <w:spacing w:before="28" w:line="230" w:lineRule="exact"/>
        <w:ind w:left="106" w:right="108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Jahr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2018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fertiggestellte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Mehrfamilienhaus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(MFH)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besteht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aus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6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Wohnungen,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welche</w:t>
      </w:r>
      <w:r>
        <w:rPr>
          <w:rFonts w:ascii="Theinhardt Bold" w:eastAsia="Theinhardt Bold" w:hAnsi="Theinhardt Bold" w:cs="Theinhardt Bold"/>
          <w:b/>
          <w:bCs/>
          <w:color w:val="231F20"/>
          <w:spacing w:val="3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ökologische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ökonomische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Ziele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anstreben.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guter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Wärmedämmung,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solarer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Architek-</w:t>
      </w:r>
      <w:r>
        <w:rPr>
          <w:rFonts w:ascii="Theinhardt Bold" w:eastAsia="Theinhardt Bold" w:hAnsi="Theinhardt Bold" w:cs="Theinhardt Bold"/>
          <w:b/>
          <w:bCs/>
          <w:color w:val="231F20"/>
          <w:spacing w:val="8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>tur,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Wärmerückgewinnung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beim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Duschwasser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sowie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Reduktion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Lüftungsverlusten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weist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die-</w:t>
      </w:r>
      <w:r>
        <w:rPr>
          <w:rFonts w:ascii="Theinhardt Bold" w:eastAsia="Theinhardt Bold" w:hAnsi="Theinhardt Bold" w:cs="Theinhardt Bold"/>
          <w:b/>
          <w:bCs/>
          <w:color w:val="231F20"/>
          <w:spacing w:val="7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ses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PlusEnergie-MFH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bloss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25.5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kWh/m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a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aus.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Zwei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PV-Anlagen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231F20"/>
          <w:spacing w:val="5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Flachdach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MFH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sowie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angrenzenden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Fahrzeugunterstand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erzeugen</w:t>
      </w:r>
      <w:r>
        <w:rPr>
          <w:rFonts w:ascii="Theinhardt Bold" w:eastAsia="Theinhardt Bold" w:hAnsi="Theinhardt Bold" w:cs="Theinhardt Bold"/>
          <w:b/>
          <w:bCs/>
          <w:color w:val="231F20"/>
          <w:spacing w:val="6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56’500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Strom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pro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Jahr.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jährlichen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22’400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bedeutet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dies</w:t>
      </w:r>
      <w:r>
        <w:rPr>
          <w:rFonts w:ascii="Theinhardt Bold" w:eastAsia="Theinhardt Bold" w:hAnsi="Theinhardt Bold" w:cs="Theinhardt Bold"/>
          <w:b/>
          <w:bCs/>
          <w:color w:val="231F20"/>
          <w:spacing w:val="4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252%.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34’000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8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24 Elektroautos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12’000 km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-frei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fahren.</w:t>
      </w:r>
    </w:p>
    <w:p w14:paraId="2FB28937" w14:textId="77777777" w:rsidR="00915CAD" w:rsidRDefault="00915CAD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915CAD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14:paraId="6F46D8C5" w14:textId="77777777" w:rsidR="00915CAD" w:rsidRDefault="00915CAD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BF6FCF3" w14:textId="77777777" w:rsidR="00915CAD" w:rsidRDefault="00915CAD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D52A1AA" w14:textId="77777777" w:rsidR="00915CAD" w:rsidRDefault="00915CAD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959A638" w14:textId="77777777" w:rsidR="00915CAD" w:rsidRDefault="00915CAD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F4A7E79" w14:textId="77777777" w:rsidR="00915CAD" w:rsidRDefault="00915CAD">
      <w:pPr>
        <w:spacing w:before="6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37E2B06A" w14:textId="77777777" w:rsidR="00915CAD" w:rsidRDefault="00674223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4"/>
          <w:sz w:val="40"/>
        </w:rPr>
        <w:t>252%</w:t>
      </w:r>
      <w:r>
        <w:rPr>
          <w:rFonts w:ascii="Theinhardt Black" w:hAnsi="Theinhardt Black"/>
          <w:b/>
          <w:color w:val="0067B1"/>
          <w:spacing w:val="-1"/>
          <w:sz w:val="40"/>
        </w:rPr>
        <w:t>-</w:t>
      </w:r>
      <w:r>
        <w:rPr>
          <w:rFonts w:ascii="Theinhardt Black" w:hAnsi="Theinhardt Black"/>
          <w:b/>
          <w:color w:val="0067B1"/>
          <w:spacing w:val="-8"/>
          <w:sz w:val="40"/>
        </w:rPr>
        <w:t>P</w:t>
      </w:r>
      <w:r>
        <w:rPr>
          <w:rFonts w:ascii="Theinhardt Black" w:hAnsi="Theinhardt Black"/>
          <w:b/>
          <w:color w:val="0067B1"/>
          <w:spacing w:val="-6"/>
          <w:sz w:val="40"/>
        </w:rPr>
        <w:t>E</w:t>
      </w:r>
      <w:r>
        <w:rPr>
          <w:rFonts w:ascii="Theinhardt Black" w:hAnsi="Theinhardt Black"/>
          <w:b/>
          <w:color w:val="0067B1"/>
          <w:spacing w:val="-4"/>
          <w:sz w:val="40"/>
        </w:rPr>
        <w:t>B</w:t>
      </w:r>
      <w:r>
        <w:rPr>
          <w:rFonts w:ascii="Theinhardt Black" w:hAnsi="Theinhardt Black"/>
          <w:b/>
          <w:color w:val="0067B1"/>
          <w:sz w:val="40"/>
        </w:rPr>
        <w:t>-</w:t>
      </w:r>
      <w:r>
        <w:rPr>
          <w:rFonts w:ascii="Theinhardt Black" w:hAnsi="Theinhardt Black"/>
          <w:b/>
          <w:color w:val="0067B1"/>
          <w:spacing w:val="-2"/>
          <w:sz w:val="40"/>
        </w:rPr>
        <w:t>M</w:t>
      </w:r>
      <w:r>
        <w:rPr>
          <w:rFonts w:ascii="Theinhardt Black" w:hAnsi="Theinhardt Black"/>
          <w:b/>
          <w:color w:val="0067B1"/>
          <w:spacing w:val="-6"/>
          <w:sz w:val="40"/>
        </w:rPr>
        <w:t>F</w:t>
      </w:r>
      <w:r>
        <w:rPr>
          <w:rFonts w:ascii="Theinhardt Black" w:hAnsi="Theinhardt Black"/>
          <w:b/>
          <w:color w:val="0067B1"/>
          <w:sz w:val="40"/>
        </w:rPr>
        <w:t>H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z w:val="40"/>
        </w:rPr>
        <w:t>L</w:t>
      </w:r>
      <w:r>
        <w:rPr>
          <w:rFonts w:ascii="Theinhardt Black" w:hAnsi="Theinhardt Black"/>
          <w:b/>
          <w:color w:val="0067B1"/>
          <w:spacing w:val="8"/>
          <w:sz w:val="40"/>
        </w:rPr>
        <w:t>ü</w:t>
      </w:r>
      <w:r>
        <w:rPr>
          <w:rFonts w:ascii="Theinhardt Black" w:hAnsi="Theinhardt Black"/>
          <w:b/>
          <w:color w:val="0067B1"/>
          <w:sz w:val="40"/>
        </w:rPr>
        <w:t>t</w:t>
      </w:r>
      <w:r>
        <w:rPr>
          <w:rFonts w:ascii="Theinhardt Black" w:hAnsi="Theinhardt Black"/>
          <w:b/>
          <w:color w:val="0067B1"/>
          <w:spacing w:val="-2"/>
          <w:sz w:val="40"/>
        </w:rPr>
        <w:t>h</w:t>
      </w:r>
      <w:r>
        <w:rPr>
          <w:rFonts w:ascii="Theinhardt Black" w:hAnsi="Theinhardt Black"/>
          <w:b/>
          <w:color w:val="0067B1"/>
          <w:spacing w:val="-4"/>
          <w:sz w:val="40"/>
        </w:rPr>
        <w:t>i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33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4"/>
          <w:sz w:val="40"/>
        </w:rPr>
        <w:t>332</w:t>
      </w:r>
      <w:r>
        <w:rPr>
          <w:rFonts w:ascii="Theinhardt Black" w:hAnsi="Theinhardt Black"/>
          <w:b/>
          <w:color w:val="0067B1"/>
          <w:sz w:val="40"/>
        </w:rPr>
        <w:t>2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2"/>
          <w:sz w:val="40"/>
        </w:rPr>
        <w:t>U</w:t>
      </w:r>
      <w:r>
        <w:rPr>
          <w:rFonts w:ascii="Theinhardt Black" w:hAnsi="Theinhardt Black"/>
          <w:b/>
          <w:color w:val="0067B1"/>
          <w:spacing w:val="23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t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-3"/>
          <w:sz w:val="40"/>
        </w:rPr>
        <w:t>n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-4"/>
          <w:sz w:val="40"/>
        </w:rPr>
        <w:t>n</w:t>
      </w:r>
      <w:r>
        <w:rPr>
          <w:rFonts w:ascii="Theinhardt Black" w:hAnsi="Theinhardt Black"/>
          <w:b/>
          <w:color w:val="0067B1"/>
          <w:spacing w:val="-20"/>
          <w:sz w:val="40"/>
        </w:rPr>
        <w:t>-</w:t>
      </w:r>
      <w:r>
        <w:rPr>
          <w:rFonts w:ascii="Theinhardt Black" w:hAnsi="Theinhardt Black"/>
          <w:b/>
          <w:color w:val="0067B1"/>
          <w:spacing w:val="2"/>
          <w:sz w:val="40"/>
        </w:rPr>
        <w:t>S</w:t>
      </w:r>
      <w:r>
        <w:rPr>
          <w:rFonts w:ascii="Theinhardt Black" w:hAnsi="Theinhardt Black"/>
          <w:b/>
          <w:color w:val="0067B1"/>
          <w:spacing w:val="1"/>
          <w:sz w:val="40"/>
        </w:rPr>
        <w:t>c</w:t>
      </w:r>
      <w:r>
        <w:rPr>
          <w:rFonts w:ascii="Theinhardt Black" w:hAnsi="Theinhardt Black"/>
          <w:b/>
          <w:color w:val="0067B1"/>
          <w:spacing w:val="-3"/>
          <w:sz w:val="40"/>
        </w:rPr>
        <w:t>h</w:t>
      </w:r>
      <w:r>
        <w:rPr>
          <w:rFonts w:ascii="Theinhardt Black" w:hAnsi="Theinhardt Black"/>
          <w:b/>
          <w:color w:val="0067B1"/>
          <w:spacing w:val="-2"/>
          <w:sz w:val="40"/>
        </w:rPr>
        <w:t>önb</w:t>
      </w:r>
      <w:r>
        <w:rPr>
          <w:rFonts w:ascii="Theinhardt Black" w:hAnsi="Theinhardt Black"/>
          <w:b/>
          <w:color w:val="0067B1"/>
          <w:spacing w:val="-3"/>
          <w:sz w:val="40"/>
        </w:rPr>
        <w:t>ü</w:t>
      </w:r>
      <w:r>
        <w:rPr>
          <w:rFonts w:ascii="Theinhardt Black" w:hAnsi="Theinhardt Black"/>
          <w:b/>
          <w:color w:val="0067B1"/>
          <w:spacing w:val="-2"/>
          <w:sz w:val="40"/>
        </w:rPr>
        <w:t>h</w:t>
      </w:r>
      <w:r>
        <w:rPr>
          <w:rFonts w:ascii="Theinhardt Black" w:hAnsi="Theinhardt Black"/>
          <w:b/>
          <w:color w:val="0067B1"/>
          <w:spacing w:val="8"/>
          <w:sz w:val="40"/>
        </w:rPr>
        <w:t>l</w:t>
      </w:r>
      <w:r>
        <w:rPr>
          <w:rFonts w:ascii="Theinhardt Black" w:hAnsi="Theinhardt Black"/>
          <w:b/>
          <w:color w:val="0067B1"/>
          <w:spacing w:val="6"/>
          <w:sz w:val="40"/>
        </w:rPr>
        <w:t>/</w:t>
      </w:r>
      <w:r>
        <w:rPr>
          <w:rFonts w:ascii="Theinhardt Black" w:hAnsi="Theinhardt Black"/>
          <w:b/>
          <w:color w:val="0067B1"/>
          <w:spacing w:val="-6"/>
          <w:sz w:val="40"/>
        </w:rPr>
        <w:t>B</w:t>
      </w:r>
      <w:r>
        <w:rPr>
          <w:rFonts w:ascii="Theinhardt Black" w:hAnsi="Theinhardt Black"/>
          <w:b/>
          <w:color w:val="0067B1"/>
          <w:sz w:val="40"/>
        </w:rPr>
        <w:t>E</w:t>
      </w:r>
    </w:p>
    <w:p w14:paraId="0E969ECA" w14:textId="77777777" w:rsidR="00915CAD" w:rsidRDefault="00915CAD">
      <w:pPr>
        <w:spacing w:before="1"/>
        <w:rPr>
          <w:rFonts w:ascii="Theinhardt Black" w:eastAsia="Theinhardt Black" w:hAnsi="Theinhardt Black" w:cs="Theinhardt Black"/>
          <w:b/>
          <w:bCs/>
        </w:rPr>
      </w:pPr>
    </w:p>
    <w:p w14:paraId="43565B69" w14:textId="77777777" w:rsidR="00915CAD" w:rsidRDefault="00915CAD">
      <w:pPr>
        <w:rPr>
          <w:rFonts w:ascii="Theinhardt Black" w:eastAsia="Theinhardt Black" w:hAnsi="Theinhardt Black" w:cs="Theinhardt Black"/>
        </w:rPr>
        <w:sectPr w:rsidR="00915CAD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62FDB58A" w14:textId="77777777" w:rsidR="00915CAD" w:rsidRDefault="00674223">
      <w:pPr>
        <w:pStyle w:val="Textkrper"/>
        <w:spacing w:line="230" w:lineRule="exact"/>
        <w:jc w:val="both"/>
      </w:pPr>
      <w:r>
        <w:pict w14:anchorId="7F16CE5C">
          <v:shape id="_x0000_s1047" type="#_x0000_t75" style="position:absolute;left:0;text-align:left;margin-left:28.35pt;margin-top:300.75pt;width:345.85pt;height:172.9pt;z-index:-4672;mso-position-horizontal-relative:page">
            <v:imagedata r:id="rId6" o:title=""/>
            <w10:wrap anchorx="page"/>
          </v:shape>
        </w:pict>
      </w:r>
      <w:r>
        <w:rPr>
          <w:color w:val="231F20"/>
          <w:spacing w:val="1"/>
        </w:rPr>
        <w:t>Das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Sechsfamilienhaus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Moosstras-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Urtenen-Schönbühl/BE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zeichnet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durch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kompakte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Bauweise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aus.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Das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günstige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Verhältnis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zwischen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Gebäudevo-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lumen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-oberfläche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führt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tie-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Energiebedarf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gesamthaft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22’400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tägliche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Wohnung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beträgt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bloss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kWh.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Erdsonden-Wärmepumpe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Wärme-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 xml:space="preserve">rückgewinnung </w:t>
      </w:r>
      <w:r>
        <w:rPr>
          <w:color w:val="231F20"/>
        </w:rPr>
        <w:t>beim</w:t>
      </w:r>
      <w:r>
        <w:rPr>
          <w:color w:val="231F20"/>
          <w:spacing w:val="-1"/>
        </w:rPr>
        <w:t xml:space="preserve"> Duschwasser reduzie-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Warmwasser-Energiebedarf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Warmwasseraufbereitung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Hälfte.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Sommer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wird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Erdsonde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Geocooling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MFH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genutzt.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Monitoring-App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er-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laubt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Mietern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jederzeit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einen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Überblick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über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Energiebezüge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ermöglicht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Steuerung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Heizungs-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Lüf-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tungssystems.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16.8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starke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PV-Anla-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Flachdach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MFH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 xml:space="preserve">5-Grad-Winkel </w:t>
      </w:r>
      <w:r>
        <w:rPr>
          <w:color w:val="231F20"/>
          <w:spacing w:val="-1"/>
        </w:rPr>
        <w:t>nach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Südosten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ausgerichtet.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zweite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starke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PV-Anlage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Flachdach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5-Grad-Winkel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nach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Südwesten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ausgerichtet.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Beide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ganzflächig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integriert.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erzeugen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zusam-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35’000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Jahr.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20.5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kWp</w:t>
      </w:r>
    </w:p>
    <w:p w14:paraId="3A2A6CA3" w14:textId="77777777" w:rsidR="00915CAD" w:rsidRDefault="00674223">
      <w:pPr>
        <w:pStyle w:val="Textkrper"/>
        <w:spacing w:before="75" w:line="230" w:lineRule="exact"/>
        <w:jc w:val="both"/>
      </w:pPr>
      <w:r>
        <w:br w:type="column"/>
      </w:r>
      <w:r>
        <w:rPr>
          <w:color w:val="231F20"/>
          <w:spacing w:val="-1"/>
        </w:rPr>
        <w:t>starke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PV-Anlage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Carport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neigt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12-Grad-Winkel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nach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Südwesten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erzeugt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21’000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Jahr.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Insge-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samt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erzeugen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drei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PV-Anlagen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zusam-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56’000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Eigenener-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gieversorgung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252%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fällt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jährlicher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34’000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Damit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könnten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Elektroautos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Tes-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las je 12’000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km </w:t>
      </w:r>
      <w:r>
        <w:rPr>
          <w:color w:val="231F20"/>
          <w:spacing w:val="-2"/>
        </w:rPr>
        <w:t>pro</w:t>
      </w:r>
      <w:r>
        <w:rPr>
          <w:color w:val="231F20"/>
        </w:rPr>
        <w:t xml:space="preserve"> Jahr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fahren.</w:t>
      </w:r>
    </w:p>
    <w:p w14:paraId="08968C93" w14:textId="77777777" w:rsidR="00915CAD" w:rsidRDefault="00915CAD">
      <w:pPr>
        <w:rPr>
          <w:rFonts w:ascii="Theinhardt Regular" w:eastAsia="Theinhardt Regular" w:hAnsi="Theinhardt Regular" w:cs="Theinhardt Regular"/>
        </w:rPr>
      </w:pPr>
    </w:p>
    <w:p w14:paraId="129B9156" w14:textId="77777777" w:rsidR="00915CAD" w:rsidRDefault="00674223">
      <w:pPr>
        <w:spacing w:before="183" w:line="232" w:lineRule="auto"/>
        <w:ind w:left="107" w:right="8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Achevé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2018,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l’immeuble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BEP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Lüthi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compose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six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appartements,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conçus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pour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atteindre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objectifs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écologiques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éco-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nomiques.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bonne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isolation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thermique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architecture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combinées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récu-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pération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chaleur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l’eau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douche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réduction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pertes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système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ven-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tilation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limitent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consommation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26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kWh/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position w:val="6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Trois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installations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PV,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plat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BEP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l’abri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véhicules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ad-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jacent,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génèrent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total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56’000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dont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22’400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servent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couvrir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besoins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énergie.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L’autoproduction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atteint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ainsi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252%.</w:t>
      </w:r>
    </w:p>
    <w:p w14:paraId="752350FA" w14:textId="77777777" w:rsidR="00915CAD" w:rsidRDefault="00674223">
      <w:pPr>
        <w:spacing w:before="67"/>
        <w:ind w:left="107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66E6849F" w14:textId="77777777" w:rsidR="00915CAD" w:rsidRDefault="00915CAD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347AC711" w14:textId="77777777" w:rsidR="00915CAD" w:rsidRDefault="00674223">
      <w:pPr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BA2D241">
          <v:group id="_x0000_s1040" style="width:167.25pt;height:.45pt;mso-position-horizontal-relative:char;mso-position-vertical-relative:line" coordsize="3345,9">
            <v:group id="_x0000_s1045" style="position:absolute;left:21;top:4;width:3311;height:2" coordorigin="21,4" coordsize="3311,2">
              <v:shape id="_x0000_s1046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3" style="position:absolute;left:4;top:4;width:2;height:2" coordorigin="4,4" coordsize="2,2">
              <v:shape id="_x0000_s1044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1" style="position:absolute;left:3341;top:4;width:2;height:2" coordorigin="3341,4" coordsize="2,2">
              <v:shape id="_x0000_s1042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533A1F4" w14:textId="77777777" w:rsidR="00915CAD" w:rsidRDefault="00674223">
      <w:pPr>
        <w:spacing w:before="20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</w:p>
    <w:p w14:paraId="08D8F220" w14:textId="77777777" w:rsidR="00915CAD" w:rsidRDefault="00674223">
      <w:pPr>
        <w:tabs>
          <w:tab w:val="left" w:pos="1190"/>
          <w:tab w:val="left" w:pos="2664"/>
        </w:tabs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</w:r>
      <w:r>
        <w:rPr>
          <w:rFonts w:ascii="Theinhardt Regular"/>
          <w:color w:val="231F20"/>
          <w:sz w:val="14"/>
        </w:rPr>
        <w:tab/>
        <w:t xml:space="preserve">30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 xml:space="preserve">    </w:t>
      </w:r>
      <w:r>
        <w:rPr>
          <w:rFonts w:ascii="Theinhardt Regular"/>
          <w:color w:val="231F20"/>
          <w:spacing w:val="18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05CD58FF" w14:textId="77777777" w:rsidR="00915CAD" w:rsidRDefault="00674223">
      <w:pPr>
        <w:tabs>
          <w:tab w:val="left" w:pos="1194"/>
          <w:tab w:val="left" w:pos="2663"/>
        </w:tabs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32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 xml:space="preserve">    </w:t>
      </w:r>
      <w:r>
        <w:rPr>
          <w:rFonts w:ascii="Theinhardt Regular"/>
          <w:color w:val="231F20"/>
          <w:spacing w:val="18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31DBD7EC" w14:textId="77777777" w:rsidR="00915CAD" w:rsidRDefault="00674223">
      <w:pPr>
        <w:tabs>
          <w:tab w:val="left" w:pos="1075"/>
          <w:tab w:val="left" w:pos="1788"/>
          <w:tab w:val="left" w:pos="2641"/>
        </w:tabs>
        <w:spacing w:before="5" w:line="207" w:lineRule="auto"/>
        <w:ind w:left="107" w:right="1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4"/>
          <w:sz w:val="14"/>
        </w:rPr>
        <w:t>15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0.20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4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  <w:t>dreifach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0.88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59F755CB" w14:textId="77777777" w:rsidR="00915CAD" w:rsidRDefault="00674223">
      <w:pPr>
        <w:spacing w:before="38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</w:p>
    <w:p w14:paraId="00A33D84" w14:textId="77777777" w:rsidR="00915CAD" w:rsidRDefault="00674223">
      <w:pPr>
        <w:tabs>
          <w:tab w:val="left" w:pos="1694"/>
        </w:tabs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879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position w:val="5"/>
          <w:sz w:val="8"/>
        </w:rPr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 xml:space="preserve">a      </w:t>
      </w:r>
      <w:r>
        <w:rPr>
          <w:rFonts w:ascii="Theinhardt Regular"/>
          <w:color w:val="231F20"/>
          <w:spacing w:val="5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%       </w:t>
      </w:r>
      <w:r>
        <w:rPr>
          <w:rFonts w:ascii="Theinhardt Regular"/>
          <w:color w:val="231F20"/>
          <w:spacing w:val="32"/>
          <w:sz w:val="14"/>
        </w:rPr>
        <w:t xml:space="preserve"> </w:t>
      </w:r>
      <w:r>
        <w:rPr>
          <w:rFonts w:ascii="Theinhardt Regular"/>
          <w:color w:val="231F20"/>
          <w:sz w:val="14"/>
        </w:rPr>
        <w:t>kWh/a</w:t>
      </w:r>
    </w:p>
    <w:p w14:paraId="117BB298" w14:textId="77777777" w:rsidR="00915CAD" w:rsidRDefault="00674223">
      <w:pPr>
        <w:tabs>
          <w:tab w:val="left" w:pos="2057"/>
        </w:tabs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Warmwasser: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2.9     </w:t>
      </w:r>
      <w:r>
        <w:rPr>
          <w:rFonts w:ascii="Theinhardt Regular" w:eastAsia="Theinhardt Regular" w:hAnsi="Theinhardt Regular" w:cs="Theinhardt Regular"/>
          <w:color w:val="231F20"/>
          <w:spacing w:val="1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4"/>
          <w:szCs w:val="14"/>
        </w:rPr>
        <w:t>11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  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2’549</w:t>
      </w:r>
    </w:p>
    <w:p w14:paraId="517F2931" w14:textId="77777777" w:rsidR="00915CAD" w:rsidRDefault="00674223">
      <w:pPr>
        <w:tabs>
          <w:tab w:val="left" w:pos="2057"/>
        </w:tabs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Heizung: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5.5     </w:t>
      </w:r>
      <w:r>
        <w:rPr>
          <w:rFonts w:ascii="Theinhardt Regular" w:eastAsia="Theinhardt Regular" w:hAnsi="Theinhardt Regular" w:cs="Theinhardt Regular"/>
          <w:color w:val="231F20"/>
          <w:spacing w:val="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22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  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4’810</w:t>
      </w:r>
    </w:p>
    <w:p w14:paraId="165C1615" w14:textId="77777777" w:rsidR="00915CAD" w:rsidRDefault="00674223">
      <w:pPr>
        <w:tabs>
          <w:tab w:val="left" w:pos="2007"/>
        </w:tabs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8"/>
          <w:sz w:val="14"/>
          <w:szCs w:val="14"/>
        </w:rPr>
        <w:t>17.1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</w:t>
      </w:r>
      <w:r>
        <w:rPr>
          <w:rFonts w:ascii="Theinhardt Regular" w:eastAsia="Theinhardt Regular" w:hAnsi="Theinhardt Regular" w:cs="Theinhardt Regular"/>
          <w:color w:val="231F20"/>
          <w:spacing w:val="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67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</w:t>
      </w:r>
      <w:r>
        <w:rPr>
          <w:rFonts w:ascii="Theinhardt Regular" w:eastAsia="Theinhardt Regular" w:hAnsi="Theinhardt Regular" w:cs="Theinhardt Regular"/>
          <w:color w:val="231F20"/>
          <w:spacing w:val="3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15’081</w:t>
      </w:r>
    </w:p>
    <w:p w14:paraId="65C7D42E" w14:textId="77777777" w:rsidR="00915CAD" w:rsidRDefault="00674223">
      <w:pPr>
        <w:tabs>
          <w:tab w:val="left" w:pos="1965"/>
        </w:tabs>
        <w:spacing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25.5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22’440</w:t>
      </w:r>
    </w:p>
    <w:p w14:paraId="3E23DD86" w14:textId="77777777" w:rsidR="00915CAD" w:rsidRDefault="00674223">
      <w:pPr>
        <w:spacing w:before="32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00F63E57" w14:textId="77777777" w:rsidR="00915CAD" w:rsidRDefault="00674223">
      <w:pPr>
        <w:tabs>
          <w:tab w:val="left" w:pos="877"/>
          <w:tab w:val="left" w:pos="2020"/>
          <w:tab w:val="left" w:pos="2530"/>
          <w:tab w:val="left" w:pos="2944"/>
        </w:tabs>
        <w:spacing w:before="6" w:line="207" w:lineRule="auto"/>
        <w:ind w:left="107" w:right="16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1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294   </w:t>
      </w:r>
      <w:r>
        <w:rPr>
          <w:rFonts w:ascii="Theinhardt Regular" w:eastAsia="Theinhardt Regular" w:hAnsi="Theinhardt Regular" w:cs="Theinhardt Regular"/>
          <w:color w:val="231F20"/>
          <w:spacing w:val="3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51.3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192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252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56’451</w:t>
      </w:r>
    </w:p>
    <w:p w14:paraId="01C24F39" w14:textId="77777777" w:rsidR="00915CAD" w:rsidRDefault="00915CAD">
      <w:pPr>
        <w:spacing w:before="7"/>
        <w:rPr>
          <w:rFonts w:ascii="Theinhardt Bold" w:eastAsia="Theinhardt Bold" w:hAnsi="Theinhardt Bold" w:cs="Theinhardt Bold"/>
          <w:b/>
          <w:bCs/>
          <w:sz w:val="2"/>
          <w:szCs w:val="2"/>
        </w:rPr>
      </w:pPr>
    </w:p>
    <w:tbl>
      <w:tblPr>
        <w:tblStyle w:val="TableNormal"/>
        <w:tblW w:w="0" w:type="auto"/>
        <w:tblInd w:w="52" w:type="dxa"/>
        <w:tblLayout w:type="fixed"/>
        <w:tblLook w:val="01E0" w:firstRow="1" w:lastRow="1" w:firstColumn="1" w:lastColumn="1" w:noHBand="0" w:noVBand="0"/>
      </w:tblPr>
      <w:tblGrid>
        <w:gridCol w:w="2099"/>
        <w:gridCol w:w="645"/>
        <w:gridCol w:w="654"/>
      </w:tblGrid>
      <w:tr w:rsidR="00915CAD" w14:paraId="6B98D593" w14:textId="77777777">
        <w:trPr>
          <w:trHeight w:hRule="exact" w:val="187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1665F95B" w14:textId="77777777" w:rsidR="00915CAD" w:rsidRDefault="00674223">
            <w:pPr>
              <w:pStyle w:val="TableParagraph"/>
              <w:spacing w:before="4" w:line="182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(Endenergie)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11BC726" w14:textId="77777777" w:rsidR="00915CAD" w:rsidRDefault="00674223">
            <w:pPr>
              <w:pStyle w:val="TableParagraph"/>
              <w:spacing w:before="4" w:line="182" w:lineRule="exact"/>
              <w:ind w:left="37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1B3D902" w14:textId="77777777" w:rsidR="00915CAD" w:rsidRDefault="00674223">
            <w:pPr>
              <w:pStyle w:val="TableParagraph"/>
              <w:spacing w:before="4" w:line="182" w:lineRule="exact"/>
              <w:ind w:left="19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kWh/a</w:t>
            </w:r>
          </w:p>
        </w:tc>
      </w:tr>
      <w:tr w:rsidR="00915CAD" w14:paraId="75F77B6D" w14:textId="77777777">
        <w:trPr>
          <w:trHeight w:hRule="exact" w:val="15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1465CEB" w14:textId="77777777" w:rsidR="00915CAD" w:rsidRDefault="00674223">
            <w:pPr>
              <w:pStyle w:val="TableParagraph"/>
              <w:spacing w:line="15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677F28" w14:textId="77777777" w:rsidR="00915CAD" w:rsidRDefault="00674223">
            <w:pPr>
              <w:pStyle w:val="TableParagraph"/>
              <w:spacing w:line="159" w:lineRule="exact"/>
              <w:ind w:left="256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252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4860EEE" w14:textId="77777777" w:rsidR="00915CAD" w:rsidRDefault="00674223">
            <w:pPr>
              <w:pStyle w:val="TableParagraph"/>
              <w:spacing w:line="159" w:lineRule="exact"/>
              <w:ind w:left="14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2"/>
                <w:sz w:val="14"/>
                <w:szCs w:val="14"/>
              </w:rPr>
              <w:t>56’451</w:t>
            </w:r>
          </w:p>
        </w:tc>
      </w:tr>
      <w:tr w:rsidR="00915CAD" w14:paraId="68607A50" w14:textId="77777777">
        <w:trPr>
          <w:trHeight w:hRule="exact" w:val="16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24702EE" w14:textId="77777777" w:rsidR="00915CAD" w:rsidRDefault="00674223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9482186" w14:textId="77777777" w:rsidR="00915CAD" w:rsidRDefault="00674223">
            <w:pPr>
              <w:pStyle w:val="TableParagraph"/>
              <w:spacing w:line="160" w:lineRule="exact"/>
              <w:ind w:left="25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F3B134F" w14:textId="77777777" w:rsidR="00915CAD" w:rsidRDefault="00674223">
            <w:pPr>
              <w:pStyle w:val="TableParagraph"/>
              <w:spacing w:line="160" w:lineRule="exact"/>
              <w:ind w:left="137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22’440</w:t>
            </w:r>
          </w:p>
        </w:tc>
      </w:tr>
      <w:tr w:rsidR="00915CAD" w14:paraId="41607274" w14:textId="77777777">
        <w:trPr>
          <w:trHeight w:hRule="exact" w:val="186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8414D3E" w14:textId="77777777" w:rsidR="00915CAD" w:rsidRDefault="00674223">
            <w:pPr>
              <w:pStyle w:val="TableParagraph"/>
              <w:spacing w:line="164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C3D18DE" w14:textId="77777777" w:rsidR="00915CAD" w:rsidRDefault="00674223">
            <w:pPr>
              <w:pStyle w:val="TableParagraph"/>
              <w:spacing w:line="164" w:lineRule="exact"/>
              <w:ind w:left="262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EEFD238" w14:textId="77777777" w:rsidR="00915CAD" w:rsidRDefault="00674223">
            <w:pPr>
              <w:pStyle w:val="TableParagraph"/>
              <w:spacing w:line="164" w:lineRule="exact"/>
              <w:ind w:left="149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3"/>
                <w:sz w:val="14"/>
                <w:szCs w:val="14"/>
              </w:rPr>
              <w:t>34’011</w:t>
            </w:r>
          </w:p>
        </w:tc>
      </w:tr>
    </w:tbl>
    <w:p w14:paraId="2C13AA41" w14:textId="77777777" w:rsidR="00915CAD" w:rsidRDefault="00674223">
      <w:pPr>
        <w:spacing w:before="17" w:line="160" w:lineRule="exact"/>
        <w:ind w:left="107" w:right="1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Genossenschaft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Elektra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pacing w:val="28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17.02.2020,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Thomas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Bischof,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31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763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31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31</w:t>
      </w:r>
    </w:p>
    <w:p w14:paraId="0977387D" w14:textId="77777777" w:rsidR="00915CAD" w:rsidRDefault="00674223">
      <w:pPr>
        <w:spacing w:before="56" w:line="160" w:lineRule="exact"/>
        <w:ind w:left="107" w:right="108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Anm.: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Solarertrag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war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in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Hälfte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2020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über-</w:t>
      </w:r>
      <w:r>
        <w:rPr>
          <w:rFonts w:ascii="Theinhardt Regular" w:hAnsi="Theinhardt Regular"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durchschnittlich.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Alle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müssen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rechtsgleich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behandelt</w:t>
      </w:r>
      <w:r>
        <w:rPr>
          <w:rFonts w:ascii="Theinhardt Regular" w:hAnsi="Theinhardt Regular"/>
          <w:color w:val="231F20"/>
          <w:spacing w:val="5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werden</w:t>
      </w:r>
      <w:r>
        <w:rPr>
          <w:rFonts w:ascii="Theinhardt Regular" w:hAnsi="Theinhardt Regular"/>
          <w:color w:val="231F20"/>
          <w:sz w:val="14"/>
        </w:rPr>
        <w:t xml:space="preserve"> (vgl. </w:t>
      </w:r>
      <w:r>
        <w:rPr>
          <w:rFonts w:ascii="Theinhardt Regular" w:hAnsi="Theinhardt Regular"/>
          <w:color w:val="231F20"/>
          <w:spacing w:val="2"/>
          <w:sz w:val="14"/>
        </w:rPr>
        <w:t>Rechtsfragen,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S.</w:t>
      </w:r>
      <w:r>
        <w:rPr>
          <w:rFonts w:ascii="Theinhardt Regular" w:hAnsi="Theinhardt Regular"/>
          <w:color w:val="231F20"/>
          <w:sz w:val="14"/>
        </w:rPr>
        <w:t xml:space="preserve"> 44).</w:t>
      </w:r>
    </w:p>
    <w:p w14:paraId="3DBEC1B7" w14:textId="77777777" w:rsidR="00915CAD" w:rsidRDefault="00674223">
      <w:pPr>
        <w:spacing w:before="105"/>
        <w:ind w:left="107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Personen</w:t>
      </w:r>
    </w:p>
    <w:p w14:paraId="5A1A6D0F" w14:textId="77777777" w:rsidR="00915CAD" w:rsidRDefault="00915CAD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42D6C1A6" w14:textId="77777777" w:rsidR="00915CAD" w:rsidRDefault="00674223">
      <w:pPr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00C3A628"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43CFD80B" w14:textId="77777777" w:rsidR="00915CAD" w:rsidRDefault="00674223">
      <w:pPr>
        <w:spacing w:before="20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Standort</w:t>
      </w:r>
    </w:p>
    <w:p w14:paraId="179FF690" w14:textId="77777777" w:rsidR="00915CAD" w:rsidRDefault="00674223">
      <w:pPr>
        <w:spacing w:line="172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Moosstrasse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6"/>
          <w:sz w:val="14"/>
        </w:rPr>
        <w:t>41,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3322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Urtenen-Schönbühl</w:t>
      </w:r>
    </w:p>
    <w:p w14:paraId="6EC2C09C" w14:textId="77777777" w:rsidR="00915CAD" w:rsidRDefault="00674223">
      <w:pPr>
        <w:spacing w:before="32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Bauherrschaft,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PV-Planung</w:t>
      </w:r>
    </w:p>
    <w:p w14:paraId="406419C2" w14:textId="77777777" w:rsidR="00915CAD" w:rsidRDefault="00674223">
      <w:pPr>
        <w:spacing w:before="6" w:line="207" w:lineRule="auto"/>
        <w:ind w:left="107" w:right="72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Fengari</w:t>
      </w:r>
      <w:r>
        <w:rPr>
          <w:rFonts w:ascii="Theinhardt Regular" w:hAnsi="Theinhardt Regular"/>
          <w:color w:val="231F20"/>
          <w:sz w:val="14"/>
        </w:rPr>
        <w:t xml:space="preserve"> AG, </w:t>
      </w:r>
      <w:r>
        <w:rPr>
          <w:rFonts w:ascii="Theinhardt Regular" w:hAnsi="Theinhardt Regular"/>
          <w:color w:val="231F20"/>
          <w:spacing w:val="1"/>
          <w:sz w:val="14"/>
        </w:rPr>
        <w:t>Roland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Lüthi</w:t>
      </w:r>
      <w:r>
        <w:rPr>
          <w:rFonts w:ascii="Theinhardt Regular" w:hAnsi="Theinhardt Regular"/>
          <w:color w:val="231F20"/>
          <w:spacing w:val="2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Lenzenhohlestrasse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13,</w:t>
      </w:r>
      <w:r>
        <w:rPr>
          <w:rFonts w:ascii="Theinhardt Regular" w:hAnsi="Theinhardt Regular"/>
          <w:color w:val="231F20"/>
          <w:sz w:val="14"/>
        </w:rPr>
        <w:t xml:space="preserve"> 3302 </w:t>
      </w:r>
      <w:r>
        <w:rPr>
          <w:rFonts w:ascii="Theinhardt Regular" w:hAnsi="Theinhardt Regular"/>
          <w:color w:val="231F20"/>
          <w:spacing w:val="2"/>
          <w:sz w:val="14"/>
        </w:rPr>
        <w:t>Moosseedorf</w:t>
      </w:r>
    </w:p>
    <w:p w14:paraId="5B3CEF55" w14:textId="77777777" w:rsidR="00915CAD" w:rsidRDefault="00674223">
      <w:pPr>
        <w:spacing w:line="167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79</w:t>
      </w:r>
      <w:r>
        <w:rPr>
          <w:rFonts w:ascii="Theinhardt Regular"/>
          <w:color w:val="231F20"/>
          <w:sz w:val="14"/>
        </w:rPr>
        <w:t xml:space="preserve"> 302 </w:t>
      </w:r>
      <w:r>
        <w:rPr>
          <w:rFonts w:ascii="Theinhardt Regular"/>
          <w:color w:val="231F20"/>
          <w:spacing w:val="-4"/>
          <w:sz w:val="14"/>
        </w:rPr>
        <w:t>13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7"/>
          <w:sz w:val="14"/>
        </w:rPr>
        <w:t>17</w:t>
      </w:r>
      <w:hyperlink r:id="rId7">
        <w:r>
          <w:rPr>
            <w:rFonts w:ascii="Theinhardt Regular"/>
            <w:color w:val="231F20"/>
            <w:spacing w:val="-7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2"/>
            <w:sz w:val="14"/>
          </w:rPr>
          <w:t>info@fengari.ch</w:t>
        </w:r>
      </w:hyperlink>
    </w:p>
    <w:p w14:paraId="4BB67123" w14:textId="77777777" w:rsidR="00915CAD" w:rsidRDefault="00674223">
      <w:pPr>
        <w:spacing w:before="32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Energieflussmessung</w:t>
      </w:r>
      <w:r>
        <w:rPr>
          <w:rFonts w:asci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Monitoring</w:t>
      </w:r>
    </w:p>
    <w:p w14:paraId="311F1CB7" w14:textId="77777777" w:rsidR="00915CAD" w:rsidRDefault="00674223">
      <w:pPr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engytec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2"/>
          <w:sz w:val="14"/>
        </w:rPr>
        <w:t>Lettenstrasse</w:t>
      </w:r>
      <w:r>
        <w:rPr>
          <w:rFonts w:ascii="Theinhardt Regular"/>
          <w:color w:val="231F20"/>
          <w:sz w:val="14"/>
        </w:rPr>
        <w:t xml:space="preserve"> 9</w:t>
      </w:r>
    </w:p>
    <w:p w14:paraId="119D5985" w14:textId="77777777" w:rsidR="00915CAD" w:rsidRDefault="00674223">
      <w:pPr>
        <w:spacing w:line="172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6343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Rotkreuz,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510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15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15</w:t>
      </w:r>
    </w:p>
    <w:p w14:paraId="5C801044" w14:textId="77777777" w:rsidR="00915CAD" w:rsidRDefault="00674223">
      <w:pPr>
        <w:spacing w:before="32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</w:p>
    <w:p w14:paraId="37FCEF73" w14:textId="77777777" w:rsidR="00915CAD" w:rsidRDefault="00674223">
      <w:pPr>
        <w:spacing w:before="6" w:line="207" w:lineRule="auto"/>
        <w:ind w:left="107" w:right="49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Lehmann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Architekten,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Altenbergstrasse</w:t>
      </w:r>
      <w:r>
        <w:rPr>
          <w:rFonts w:ascii="Theinhardt Regular"/>
          <w:color w:val="231F20"/>
          <w:sz w:val="14"/>
        </w:rPr>
        <w:t xml:space="preserve"> 34,</w:t>
      </w:r>
      <w:r>
        <w:rPr>
          <w:rFonts w:ascii="Theinhardt Regular"/>
          <w:color w:val="231F20"/>
          <w:spacing w:val="24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3013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Bern,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31</w:t>
      </w:r>
      <w:r>
        <w:rPr>
          <w:rFonts w:ascii="Theinhardt Regular"/>
          <w:color w:val="231F20"/>
          <w:sz w:val="14"/>
        </w:rPr>
        <w:t xml:space="preserve"> 333 </w:t>
      </w:r>
      <w:r>
        <w:rPr>
          <w:rFonts w:ascii="Theinhardt Regular"/>
          <w:color w:val="231F20"/>
          <w:spacing w:val="-5"/>
          <w:sz w:val="14"/>
        </w:rPr>
        <w:t>17</w:t>
      </w:r>
      <w:r>
        <w:rPr>
          <w:rFonts w:ascii="Theinhardt Regular"/>
          <w:color w:val="231F20"/>
          <w:sz w:val="14"/>
        </w:rPr>
        <w:t xml:space="preserve"> 33</w:t>
      </w:r>
    </w:p>
    <w:p w14:paraId="7D7AD415" w14:textId="77777777" w:rsidR="00915CAD" w:rsidRDefault="00674223">
      <w:pPr>
        <w:spacing w:before="38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Steuerung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Heizung,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Kühlung,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Lufterneuerung</w:t>
      </w:r>
    </w:p>
    <w:p w14:paraId="6C272A81" w14:textId="77777777" w:rsidR="00915CAD" w:rsidRDefault="00674223">
      <w:pPr>
        <w:spacing w:line="172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Belimo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2"/>
          <w:sz w:val="14"/>
        </w:rPr>
        <w:t>Brunnenbachstrasse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8340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Hinwil</w:t>
      </w:r>
    </w:p>
    <w:p w14:paraId="359680E3" w14:textId="77777777" w:rsidR="00915CAD" w:rsidRDefault="00674223">
      <w:pPr>
        <w:spacing w:before="32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Wärmerückgewinnung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Duschen</w:t>
      </w:r>
    </w:p>
    <w:p w14:paraId="69DB5F33" w14:textId="77777777" w:rsidR="00915CAD" w:rsidRDefault="00674223">
      <w:pPr>
        <w:spacing w:line="172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Joulia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SA,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Zentralstrasse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6"/>
          <w:sz w:val="14"/>
        </w:rPr>
        <w:t>115,</w:t>
      </w:r>
      <w:r>
        <w:rPr>
          <w:rFonts w:ascii="Theinhardt Regular"/>
          <w:color w:val="231F20"/>
          <w:sz w:val="14"/>
        </w:rPr>
        <w:t xml:space="preserve"> 2503 </w:t>
      </w:r>
      <w:r>
        <w:rPr>
          <w:rFonts w:ascii="Theinhardt Regular"/>
          <w:color w:val="231F20"/>
          <w:spacing w:val="1"/>
          <w:sz w:val="14"/>
        </w:rPr>
        <w:t>Biel</w:t>
      </w:r>
    </w:p>
    <w:p w14:paraId="1FE02675" w14:textId="77777777" w:rsidR="00915CAD" w:rsidRDefault="00915CAD">
      <w:pPr>
        <w:spacing w:line="172" w:lineRule="exact"/>
        <w:jc w:val="both"/>
        <w:rPr>
          <w:rFonts w:ascii="Theinhardt Regular" w:eastAsia="Theinhardt Regular" w:hAnsi="Theinhardt Regular" w:cs="Theinhardt Regular"/>
          <w:sz w:val="14"/>
          <w:szCs w:val="14"/>
        </w:rPr>
        <w:sectPr w:rsidR="00915CAD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63" w:space="108"/>
            <w:col w:w="3463" w:space="108"/>
            <w:col w:w="3568"/>
          </w:cols>
        </w:sectPr>
      </w:pPr>
    </w:p>
    <w:p w14:paraId="753024CD" w14:textId="77777777" w:rsidR="00915CAD" w:rsidRDefault="00915CAD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5300C58E" w14:textId="77777777" w:rsidR="00915CAD" w:rsidRDefault="00674223">
      <w:pPr>
        <w:spacing w:line="20" w:lineRule="atLeast"/>
        <w:ind w:left="725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1ACB7149">
          <v:group id="_x0000_s1026" style="width:167.25pt;height:.45pt;mso-position-horizontal-relative:char;mso-position-vertical-relative:line" coordsize="3345,9">
            <v:group id="_x0000_s1031" style="position:absolute;left:21;top:4;width:3311;height:2" coordorigin="21,4" coordsize="3311,2">
              <v:shape id="_x0000_s103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29" style="position:absolute;left:4;top:4;width:2;height:2" coordorigin="4,4" coordsize="2,2">
              <v:shape id="_x0000_s103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7" style="position:absolute;left:3341;top:4;width:2;height:2" coordorigin="3341,4" coordsize="2,2">
              <v:shape id="_x0000_s102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5FA7C6CE" w14:textId="77777777" w:rsidR="00915CAD" w:rsidRDefault="00915CAD">
      <w:pPr>
        <w:spacing w:before="12"/>
        <w:rPr>
          <w:rFonts w:ascii="Theinhardt Regular" w:eastAsia="Theinhardt Regular" w:hAnsi="Theinhardt Regular" w:cs="Theinhardt Regular"/>
          <w:sz w:val="9"/>
          <w:szCs w:val="9"/>
        </w:rPr>
      </w:pPr>
    </w:p>
    <w:p w14:paraId="4282AE18" w14:textId="77777777" w:rsidR="00915CAD" w:rsidRDefault="00674223">
      <w:pPr>
        <w:spacing w:line="200" w:lineRule="atLeast"/>
        <w:ind w:left="725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09C5AFF3" wp14:editId="7FFBBA1E">
            <wp:extent cx="2132792" cy="108508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792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D9FB8" w14:textId="77777777" w:rsidR="00915CAD" w:rsidRDefault="00674223">
      <w:pPr>
        <w:tabs>
          <w:tab w:val="left" w:pos="7248"/>
        </w:tabs>
        <w:spacing w:before="5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Bold"/>
          <w:b/>
          <w:color w:val="231F20"/>
          <w:position w:val="2"/>
          <w:sz w:val="14"/>
        </w:rPr>
        <w:t>2</w:t>
      </w:r>
    </w:p>
    <w:p w14:paraId="64C516E1" w14:textId="77777777" w:rsidR="00915CAD" w:rsidRDefault="00915CAD">
      <w:pPr>
        <w:rPr>
          <w:rFonts w:ascii="Theinhardt Bold" w:eastAsia="Theinhardt Bold" w:hAnsi="Theinhardt Bold" w:cs="Theinhardt Bold"/>
          <w:b/>
          <w:bCs/>
          <w:sz w:val="13"/>
          <w:szCs w:val="13"/>
        </w:rPr>
      </w:pPr>
    </w:p>
    <w:p w14:paraId="780BA90D" w14:textId="77777777" w:rsidR="00915CAD" w:rsidRDefault="00915CAD">
      <w:pPr>
        <w:rPr>
          <w:rFonts w:ascii="Theinhardt Bold" w:eastAsia="Theinhardt Bold" w:hAnsi="Theinhardt Bold" w:cs="Theinhardt Bold"/>
          <w:sz w:val="13"/>
          <w:szCs w:val="13"/>
        </w:rPr>
        <w:sectPr w:rsidR="00915CAD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72614677" w14:textId="77777777" w:rsidR="00915CAD" w:rsidRDefault="00674223">
      <w:pPr>
        <w:numPr>
          <w:ilvl w:val="0"/>
          <w:numId w:val="1"/>
        </w:numPr>
        <w:tabs>
          <w:tab w:val="left" w:pos="334"/>
        </w:tabs>
        <w:spacing w:before="76"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 xml:space="preserve">Das MFH in Moosseedorf </w:t>
      </w:r>
      <w:r>
        <w:rPr>
          <w:rFonts w:ascii="Theinhardt Bold"/>
          <w:b/>
          <w:color w:val="231F20"/>
          <w:spacing w:val="-1"/>
          <w:sz w:val="14"/>
        </w:rPr>
        <w:t>weist</w:t>
      </w:r>
      <w:r>
        <w:rPr>
          <w:rFonts w:ascii="Theinhardt Bold"/>
          <w:b/>
          <w:color w:val="231F20"/>
          <w:sz w:val="14"/>
        </w:rPr>
        <w:t xml:space="preserve"> einen </w:t>
      </w:r>
      <w:r>
        <w:rPr>
          <w:rFonts w:ascii="Theinhardt Bold"/>
          <w:b/>
          <w:color w:val="231F20"/>
          <w:spacing w:val="-1"/>
          <w:sz w:val="14"/>
        </w:rPr>
        <w:t>vorbildlich</w:t>
      </w:r>
      <w:r>
        <w:rPr>
          <w:rFonts w:ascii="Theinhardt Bold"/>
          <w:b/>
          <w:color w:val="231F20"/>
          <w:spacing w:val="4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tiefen</w:t>
      </w:r>
      <w:r>
        <w:rPr>
          <w:rFonts w:ascii="Theinhardt Bold"/>
          <w:b/>
          <w:color w:val="231F20"/>
          <w:sz w:val="14"/>
        </w:rPr>
        <w:t xml:space="preserve"> Energiebedarf von 25.5 </w:t>
      </w:r>
      <w:r>
        <w:rPr>
          <w:rFonts w:ascii="Theinhardt Bold"/>
          <w:b/>
          <w:color w:val="231F20"/>
          <w:spacing w:val="-1"/>
          <w:sz w:val="14"/>
        </w:rPr>
        <w:t>kWh/m</w:t>
      </w:r>
      <w:r>
        <w:rPr>
          <w:rFonts w:ascii="Theinhardt Bold"/>
          <w:b/>
          <w:color w:val="231F20"/>
          <w:spacing w:val="-1"/>
          <w:position w:val="5"/>
          <w:sz w:val="8"/>
        </w:rPr>
        <w:t>2</w:t>
      </w:r>
      <w:r>
        <w:rPr>
          <w:rFonts w:ascii="Theinhardt Bold"/>
          <w:b/>
          <w:color w:val="231F20"/>
          <w:spacing w:val="-1"/>
          <w:sz w:val="14"/>
        </w:rPr>
        <w:t>a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2"/>
          <w:sz w:val="14"/>
        </w:rPr>
        <w:t>auf.</w:t>
      </w:r>
    </w:p>
    <w:p w14:paraId="18D92F0E" w14:textId="77777777" w:rsidR="00915CAD" w:rsidRDefault="00674223">
      <w:pPr>
        <w:numPr>
          <w:ilvl w:val="0"/>
          <w:numId w:val="1"/>
        </w:numPr>
        <w:tabs>
          <w:tab w:val="left" w:pos="334"/>
        </w:tabs>
        <w:spacing w:before="76" w:line="160" w:lineRule="exact"/>
        <w:ind w:right="3711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Die 25.5 kW PV-Anlagen auf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Flachdach und</w:t>
      </w:r>
      <w:r>
        <w:rPr>
          <w:rFonts w:ascii="Theinhardt Bold" w:eastAsia="Theinhardt Bold" w:hAnsi="Theinhardt Bold" w:cs="Theinhardt Bold"/>
          <w:b/>
          <w:bCs/>
          <w:color w:val="231F20"/>
          <w:spacing w:val="2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Carport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erzeugen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56’451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Solar-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strom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und einen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Solarstromüberschuss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von</w:t>
      </w:r>
      <w:r>
        <w:rPr>
          <w:rFonts w:ascii="Theinhardt Bold" w:eastAsia="Theinhardt Bold" w:hAnsi="Theinhardt Bold" w:cs="Theinhardt Bold"/>
          <w:b/>
          <w:bCs/>
          <w:color w:val="231F20"/>
          <w:spacing w:val="4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34’011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kWh/a.</w:t>
      </w:r>
    </w:p>
    <w:p w14:paraId="5EEEEE3F" w14:textId="77777777" w:rsidR="00915CAD" w:rsidRDefault="00915CAD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915CAD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403" w:space="169"/>
            <w:col w:w="7138"/>
          </w:cols>
        </w:sectPr>
      </w:pPr>
    </w:p>
    <w:p w14:paraId="0F36CFA4" w14:textId="77777777" w:rsidR="00915CAD" w:rsidRDefault="00915CAD">
      <w:pPr>
        <w:spacing w:before="4"/>
        <w:rPr>
          <w:rFonts w:ascii="Theinhardt Bold" w:eastAsia="Theinhardt Bold" w:hAnsi="Theinhardt Bold" w:cs="Theinhardt Bold"/>
          <w:b/>
          <w:bCs/>
          <w:sz w:val="28"/>
          <w:szCs w:val="28"/>
        </w:rPr>
      </w:pPr>
    </w:p>
    <w:p w14:paraId="44C87782" w14:textId="77777777" w:rsidR="00915CAD" w:rsidRDefault="00674223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50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2020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2020</w:t>
      </w:r>
    </w:p>
    <w:sectPr w:rsidR="00915CAD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41A80"/>
    <w:multiLevelType w:val="hybridMultilevel"/>
    <w:tmpl w:val="ADF63004"/>
    <w:lvl w:ilvl="0" w:tplc="68260F5A">
      <w:start w:val="1"/>
      <w:numFmt w:val="decimal"/>
      <w:lvlText w:val="%1"/>
      <w:lvlJc w:val="left"/>
      <w:pPr>
        <w:ind w:left="333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3E467902">
      <w:start w:val="1"/>
      <w:numFmt w:val="bullet"/>
      <w:lvlText w:val="•"/>
      <w:lvlJc w:val="left"/>
      <w:pPr>
        <w:ind w:left="640" w:hanging="227"/>
      </w:pPr>
      <w:rPr>
        <w:rFonts w:hint="default"/>
      </w:rPr>
    </w:lvl>
    <w:lvl w:ilvl="2" w:tplc="9F74A8AE">
      <w:start w:val="1"/>
      <w:numFmt w:val="bullet"/>
      <w:lvlText w:val="•"/>
      <w:lvlJc w:val="left"/>
      <w:pPr>
        <w:ind w:left="947" w:hanging="227"/>
      </w:pPr>
      <w:rPr>
        <w:rFonts w:hint="default"/>
      </w:rPr>
    </w:lvl>
    <w:lvl w:ilvl="3" w:tplc="B1047458">
      <w:start w:val="1"/>
      <w:numFmt w:val="bullet"/>
      <w:lvlText w:val="•"/>
      <w:lvlJc w:val="left"/>
      <w:pPr>
        <w:ind w:left="1254" w:hanging="227"/>
      </w:pPr>
      <w:rPr>
        <w:rFonts w:hint="default"/>
      </w:rPr>
    </w:lvl>
    <w:lvl w:ilvl="4" w:tplc="B5D2C540">
      <w:start w:val="1"/>
      <w:numFmt w:val="bullet"/>
      <w:lvlText w:val="•"/>
      <w:lvlJc w:val="left"/>
      <w:pPr>
        <w:ind w:left="1561" w:hanging="227"/>
      </w:pPr>
      <w:rPr>
        <w:rFonts w:hint="default"/>
      </w:rPr>
    </w:lvl>
    <w:lvl w:ilvl="5" w:tplc="BCE896B8">
      <w:start w:val="1"/>
      <w:numFmt w:val="bullet"/>
      <w:lvlText w:val="•"/>
      <w:lvlJc w:val="left"/>
      <w:pPr>
        <w:ind w:left="1868" w:hanging="227"/>
      </w:pPr>
      <w:rPr>
        <w:rFonts w:hint="default"/>
      </w:rPr>
    </w:lvl>
    <w:lvl w:ilvl="6" w:tplc="90885E3C">
      <w:start w:val="1"/>
      <w:numFmt w:val="bullet"/>
      <w:lvlText w:val="•"/>
      <w:lvlJc w:val="left"/>
      <w:pPr>
        <w:ind w:left="2175" w:hanging="227"/>
      </w:pPr>
      <w:rPr>
        <w:rFonts w:hint="default"/>
      </w:rPr>
    </w:lvl>
    <w:lvl w:ilvl="7" w:tplc="79E6D7C0">
      <w:start w:val="1"/>
      <w:numFmt w:val="bullet"/>
      <w:lvlText w:val="•"/>
      <w:lvlJc w:val="left"/>
      <w:pPr>
        <w:ind w:left="2481" w:hanging="227"/>
      </w:pPr>
      <w:rPr>
        <w:rFonts w:hint="default"/>
      </w:rPr>
    </w:lvl>
    <w:lvl w:ilvl="8" w:tplc="6C8252BA">
      <w:start w:val="1"/>
      <w:numFmt w:val="bullet"/>
      <w:lvlText w:val="•"/>
      <w:lvlJc w:val="left"/>
      <w:pPr>
        <w:ind w:left="278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CAD"/>
    <w:rsid w:val="00674223"/>
    <w:rsid w:val="009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4:docId w14:val="215185D2"/>
  <w15:docId w15:val="{67A5EBD0-33C4-4BAB-B770-AF4600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4"/>
      <w:ind w:left="107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fengar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</cp:lastModifiedBy>
  <cp:revision>2</cp:revision>
  <dcterms:created xsi:type="dcterms:W3CDTF">2020-10-07T11:04:00Z</dcterms:created>
  <dcterms:modified xsi:type="dcterms:W3CDTF">2020-10-07T09:05:00Z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