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39" w:val="left" w:leader="none"/>
        </w:tabs>
        <w:spacing w:line="230" w:lineRule="exact" w:before="38"/>
        <w:ind w:left="10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51.236198pt;margin-top:14.14727pt;width:.1pt;height:.1pt;mso-position-horizontal-relative:page;mso-position-vertical-relative:paragraph;z-index:-3472" coordorigin="1025,283" coordsize="2,2">
            <v:shape style="position:absolute;left:1025;top:283;width:2;height:2" coordorigin="1025,283" coordsize="0,0" path="m1025,283l102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14.14727pt;width:.1pt;height:.1pt;mso-position-horizontal-relative:page;mso-position-vertical-relative:paragraph;z-index:1120" coordorigin="3468,283" coordsize="2,2">
            <v:shape style="position:absolute;left:3468;top:283;width:2;height:2" coordorigin="3468,283" coordsize="0,0" path="m3468,283l3468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1.236198pt;margin-top:25.64727pt;width:.1pt;height:.1pt;mso-position-horizontal-relative:page;mso-position-vertical-relative:paragraph;z-index:-3424" coordorigin="1025,513" coordsize="2,2">
            <v:shape style="position:absolute;left:1025;top:513;width:2;height:2" coordorigin="1025,513" coordsize="0,0" path="m1025,513l1025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25.64727pt;width:.1pt;height:.1pt;mso-position-horizontal-relative:page;mso-position-vertical-relative:paragraph;z-index:1168" coordorigin="3468,513" coordsize="2,2">
            <v:shape style="position:absolute;left:3468;top:513;width:2;height:2" coordorigin="3468,513" coordsize="0,0" path="m3468,513l3468,5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"/>
          <w:sz w:val="18"/>
          <w:u w:val="dotted" w:color="231F20"/>
        </w:rPr>
        <w:t>Catégorie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   </w:t>
      </w:r>
      <w:r>
        <w:rPr>
          <w:rFonts w:ascii="Theinhardt Black" w:hAnsi="Theinhardt Black"/>
          <w:b/>
          <w:color w:val="231F20"/>
          <w:spacing w:val="4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A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1"/>
          <w:sz w:val="18"/>
        </w:rPr>
        <w:t> </w:t>
      </w:r>
      <w:r>
        <w:rPr>
          <w:rFonts w:ascii="Theinhardt Black" w:hAnsi="Theinhardt Black"/>
          <w:b/>
          <w:color w:val="231F20"/>
          <w:spacing w:val="2"/>
          <w:sz w:val="18"/>
          <w:u w:val="dotted" w:color="231F20"/>
        </w:rPr>
        <w:t>Personnalités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1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Prix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Solaire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Suisse</w:t>
      </w:r>
      <w:r>
        <w:rPr>
          <w:rFonts w:ascii="Theinhardt Regular" w:hAnsi="Theinhardt Regular"/>
          <w:color w:val="231F20"/>
          <w:sz w:val="18"/>
        </w:rPr>
        <w:t> 2018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00" w:right="11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Lucien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Keller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été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précurseur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acteur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majeur,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dès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début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carrière,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dans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tous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color w:val="231F20"/>
          <w:spacing w:val="5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domaines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l’utilisation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rationnelle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l’énergie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notamment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du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solaire.</w:t>
      </w:r>
      <w:r>
        <w:rPr>
          <w:rFonts w:ascii="Theinhardt Bold" w:hAnsi="Theinhardt Bold" w:cs="Theinhardt Bold" w:eastAsia="Theinhardt Bold"/>
          <w:b/>
          <w:bCs/>
          <w:color w:val="231F20"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Il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contribué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déve-</w:t>
      </w:r>
      <w:r>
        <w:rPr>
          <w:rFonts w:ascii="Theinhardt Bold" w:hAnsi="Theinhardt Bold" w:cs="Theinhardt Bold" w:eastAsia="Theinhardt Bold"/>
          <w:b/>
          <w:bCs/>
          <w:color w:val="231F20"/>
          <w:spacing w:val="5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loppement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l’essor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ces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technologies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participant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activement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différents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programmes</w:t>
      </w:r>
      <w:r>
        <w:rPr>
          <w:rFonts w:ascii="Theinhardt Bold" w:hAnsi="Theinhardt Bold" w:cs="Theinhardt Bold" w:eastAsia="Theinhardt Bold"/>
          <w:b/>
          <w:bCs/>
          <w:color w:val="231F20"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d’impulsion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il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assuré,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entre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autres,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présidence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SSES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1995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2005.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Il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réalisé</w:t>
      </w:r>
      <w:r>
        <w:rPr>
          <w:rFonts w:ascii="Theinhardt Bold" w:hAnsi="Theinhardt Bold" w:cs="Theinhardt Bold" w:eastAsia="Theinhardt Bold"/>
          <w:b/>
          <w:bCs/>
          <w:color w:val="231F20"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plusieurs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mandats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d’études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publié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septantaine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d’articles.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Avec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bureau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d’études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color w:val="231F20"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énergie,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il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mis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œuvre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nombreux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projets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solaires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dont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certains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ont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remporté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Prix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Solaire</w:t>
      </w:r>
      <w:r>
        <w:rPr>
          <w:rFonts w:ascii="Theinhardt Bold" w:hAnsi="Theinhardt Bold" w:cs="Theinhardt Bold" w:eastAsia="Theinhardt Bold"/>
          <w:b/>
          <w:bCs/>
          <w:color w:val="231F20"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Suisse.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Aujourd’hui,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il poursuit son engagement en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faveur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des économies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d’énergie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en mettant</w:t>
      </w:r>
      <w:r>
        <w:rPr>
          <w:rFonts w:ascii="Theinhardt Bold" w:hAnsi="Theinhardt Bold" w:cs="Theinhardt Bold" w:eastAsia="Theinhardt Bold"/>
          <w:b/>
          <w:bCs/>
          <w:color w:val="231F20"/>
          <w:spacing w:val="3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ses connaissances au service des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SIG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(Services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industriels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Genève).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00" w:bottom="280" w:left="920" w:right="620"/>
          <w:cols w:num="2" w:equalWidth="0">
            <w:col w:w="2540" w:space="13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8"/>
          <w:sz w:val="40"/>
        </w:rPr>
        <w:t>Dr.</w:t>
      </w:r>
      <w:r>
        <w:rPr>
          <w:rFonts w:ascii="Theinhardt Black"/>
          <w:b/>
          <w:color w:val="0067B1"/>
          <w:spacing w:val="-47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Lucien</w:t>
      </w:r>
      <w:r>
        <w:rPr>
          <w:rFonts w:ascii="Theinhardt Black"/>
          <w:b/>
          <w:color w:val="0067B1"/>
          <w:spacing w:val="-1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K</w:t>
      </w:r>
      <w:r>
        <w:rPr>
          <w:rFonts w:ascii="Theinhardt Black"/>
          <w:b/>
          <w:color w:val="0067B1"/>
          <w:spacing w:val="2"/>
          <w:sz w:val="40"/>
        </w:rPr>
        <w:t>e</w:t>
      </w:r>
      <w:r>
        <w:rPr>
          <w:rFonts w:ascii="Theinhardt Black"/>
          <w:b/>
          <w:color w:val="0067B1"/>
          <w:spacing w:val="4"/>
          <w:sz w:val="40"/>
        </w:rPr>
        <w:t>l</w:t>
      </w:r>
      <w:r>
        <w:rPr>
          <w:rFonts w:ascii="Theinhardt Black"/>
          <w:b/>
          <w:color w:val="0067B1"/>
          <w:spacing w:val="2"/>
          <w:sz w:val="40"/>
        </w:rPr>
        <w:t>le</w:t>
      </w:r>
      <w:r>
        <w:rPr>
          <w:rFonts w:ascii="Theinhardt Black"/>
          <w:b/>
          <w:color w:val="0067B1"/>
          <w:spacing w:val="-24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1"/>
          <w:sz w:val="40"/>
        </w:rPr>
        <w:t> </w:t>
      </w:r>
      <w:r>
        <w:rPr>
          <w:rFonts w:ascii="Theinhardt Black"/>
          <w:b/>
          <w:color w:val="0067B1"/>
          <w:spacing w:val="1"/>
          <w:sz w:val="40"/>
        </w:rPr>
        <w:t>pionnier</w:t>
      </w:r>
      <w:r>
        <w:rPr>
          <w:rFonts w:ascii="Theinhardt Black"/>
          <w:b/>
          <w:color w:val="0067B1"/>
          <w:spacing w:val="-1"/>
          <w:sz w:val="40"/>
        </w:rPr>
        <w:t> </w:t>
      </w:r>
      <w:r>
        <w:rPr>
          <w:rFonts w:ascii="Theinhardt Black"/>
          <w:b/>
          <w:color w:val="0067B1"/>
          <w:spacing w:val="1"/>
          <w:sz w:val="40"/>
        </w:rPr>
        <w:t>du</w:t>
      </w:r>
      <w:r>
        <w:rPr>
          <w:rFonts w:ascii="Theinhardt Black"/>
          <w:b/>
          <w:color w:val="0067B1"/>
          <w:spacing w:val="-1"/>
          <w:sz w:val="40"/>
        </w:rPr>
        <w:t> </w:t>
      </w:r>
      <w:r>
        <w:rPr>
          <w:rFonts w:ascii="Theinhardt Black"/>
          <w:b/>
          <w:color w:val="0067B1"/>
          <w:spacing w:val="3"/>
          <w:sz w:val="40"/>
        </w:rPr>
        <w:t>solaire,</w:t>
      </w:r>
      <w:r>
        <w:rPr>
          <w:rFonts w:ascii="Theinhardt Black"/>
          <w:b/>
          <w:color w:val="0067B1"/>
          <w:spacing w:val="-1"/>
          <w:sz w:val="40"/>
        </w:rPr>
        <w:t> </w:t>
      </w:r>
      <w:r>
        <w:rPr>
          <w:rFonts w:ascii="Theinhardt Black"/>
          <w:b/>
          <w:color w:val="0067B1"/>
          <w:sz w:val="40"/>
        </w:rPr>
        <w:t>1175</w:t>
      </w:r>
      <w:r>
        <w:rPr>
          <w:rFonts w:ascii="Theinhardt Black"/>
          <w:b/>
          <w:color w:val="0067B1"/>
          <w:spacing w:val="-1"/>
          <w:sz w:val="40"/>
        </w:rPr>
        <w:t> </w:t>
      </w:r>
      <w:r>
        <w:rPr>
          <w:rFonts w:ascii="Theinhardt Black"/>
          <w:b/>
          <w:color w:val="0067B1"/>
          <w:spacing w:val="1"/>
          <w:sz w:val="40"/>
        </w:rPr>
        <w:t>Lavigny/VD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00" w:bottom="280" w:left="920" w:right="620"/>
        </w:sectPr>
      </w:pPr>
    </w:p>
    <w:p>
      <w:pPr>
        <w:pStyle w:val="BodyText"/>
        <w:spacing w:line="230" w:lineRule="exact" w:before="52"/>
        <w:ind w:right="0" w:firstLine="0"/>
        <w:jc w:val="both"/>
      </w:pPr>
      <w:r>
        <w:rPr>
          <w:color w:val="231F20"/>
          <w:spacing w:val="-3"/>
        </w:rPr>
        <w:t>L’engagement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Lucien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Keller</w:t>
      </w:r>
      <w:r>
        <w:rPr>
          <w:color w:val="231F20"/>
          <w:spacing w:val="42"/>
        </w:rPr>
        <w:t> </w:t>
      </w:r>
      <w:r>
        <w:rPr>
          <w:color w:val="231F20"/>
        </w:rPr>
        <w:t>pour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l’énergie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solaire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remonte</w:t>
      </w:r>
      <w:r>
        <w:rPr>
          <w:color w:val="231F20"/>
          <w:spacing w:val="8"/>
        </w:rPr>
        <w:t> </w:t>
      </w:r>
      <w:r>
        <w:rPr>
          <w:color w:val="231F20"/>
        </w:rPr>
        <w:t>à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l’époque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ses</w:t>
      </w:r>
      <w:r>
        <w:rPr>
          <w:color w:val="231F20"/>
          <w:spacing w:val="37"/>
        </w:rPr>
        <w:t> </w:t>
      </w:r>
      <w:r>
        <w:rPr>
          <w:color w:val="231F20"/>
        </w:rPr>
        <w:t>études,</w:t>
      </w:r>
      <w:r>
        <w:rPr>
          <w:color w:val="231F20"/>
          <w:spacing w:val="-7"/>
        </w:rPr>
        <w:t> </w:t>
      </w:r>
      <w:r>
        <w:rPr>
          <w:color w:val="231F20"/>
        </w:rPr>
        <w:t>période</w:t>
      </w:r>
      <w:r>
        <w:rPr>
          <w:color w:val="231F20"/>
          <w:spacing w:val="3"/>
        </w:rPr>
        <w:t> </w:t>
      </w:r>
      <w:r>
        <w:rPr>
          <w:color w:val="231F20"/>
        </w:rPr>
        <w:t>au</w:t>
      </w:r>
      <w:r>
        <w:rPr>
          <w:color w:val="231F20"/>
          <w:spacing w:val="3"/>
        </w:rPr>
        <w:t> </w:t>
      </w:r>
      <w:r>
        <w:rPr>
          <w:color w:val="231F20"/>
        </w:rPr>
        <w:t>cours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laquelle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lec-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ture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revues</w:t>
      </w:r>
      <w:r>
        <w:rPr>
          <w:color w:val="231F20"/>
          <w:spacing w:val="9"/>
        </w:rPr>
        <w:t> </w:t>
      </w:r>
      <w:r>
        <w:rPr>
          <w:color w:val="231F20"/>
        </w:rPr>
        <w:t>scientifiques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radiochimie</w:t>
      </w:r>
      <w:r>
        <w:rPr>
          <w:color w:val="231F20"/>
          <w:spacing w:val="27"/>
        </w:rPr>
        <w:t> </w:t>
      </w:r>
      <w:r>
        <w:rPr>
          <w:color w:val="231F20"/>
          <w:spacing w:val="-4"/>
        </w:rPr>
        <w:t>n’a</w:t>
      </w:r>
      <w:r>
        <w:rPr>
          <w:color w:val="231F20"/>
          <w:spacing w:val="1"/>
        </w:rPr>
        <w:t> </w:t>
      </w:r>
      <w:r>
        <w:rPr>
          <w:color w:val="231F20"/>
        </w:rPr>
        <w:t>pas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tardé</w:t>
      </w:r>
      <w:r>
        <w:rPr>
          <w:color w:val="231F20"/>
          <w:spacing w:val="1"/>
        </w:rPr>
        <w:t> </w:t>
      </w:r>
      <w:r>
        <w:rPr>
          <w:color w:val="231F20"/>
        </w:rPr>
        <w:t>à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éveiller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sens</w:t>
      </w:r>
      <w:r>
        <w:rPr>
          <w:color w:val="231F20"/>
          <w:spacing w:val="1"/>
        </w:rPr>
        <w:t> </w:t>
      </w:r>
      <w:r>
        <w:rPr>
          <w:color w:val="231F20"/>
        </w:rPr>
        <w:t>critique</w:t>
      </w:r>
      <w:r>
        <w:rPr>
          <w:color w:val="231F20"/>
          <w:spacing w:val="1"/>
        </w:rPr>
        <w:t> </w:t>
      </w:r>
      <w:r>
        <w:rPr>
          <w:color w:val="231F20"/>
        </w:rPr>
        <w:t>vis</w:t>
      </w:r>
      <w:r>
        <w:rPr>
          <w:color w:val="231F20"/>
          <w:spacing w:val="31"/>
        </w:rPr>
        <w:t> </w:t>
      </w:r>
      <w:r>
        <w:rPr>
          <w:color w:val="231F20"/>
        </w:rPr>
        <w:t>à</w:t>
      </w:r>
      <w:r>
        <w:rPr>
          <w:color w:val="231F20"/>
          <w:spacing w:val="2"/>
        </w:rPr>
        <w:t> </w:t>
      </w:r>
      <w:r>
        <w:rPr>
          <w:color w:val="231F20"/>
        </w:rPr>
        <w:t>vis</w:t>
      </w:r>
      <w:r>
        <w:rPr>
          <w:color w:val="231F20"/>
          <w:spacing w:val="2"/>
        </w:rPr>
        <w:t> </w:t>
      </w:r>
      <w:r>
        <w:rPr>
          <w:color w:val="231F20"/>
        </w:rPr>
        <w:t>du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discours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pro-nucléaire.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Par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suite,</w:t>
      </w:r>
      <w:r>
        <w:rPr>
          <w:color w:val="231F20"/>
          <w:spacing w:val="25"/>
        </w:rPr>
        <w:t> </w:t>
      </w:r>
      <w:r>
        <w:rPr>
          <w:color w:val="231F20"/>
        </w:rPr>
        <w:t>il</w:t>
      </w:r>
      <w:r>
        <w:rPr>
          <w:color w:val="231F20"/>
          <w:spacing w:val="8"/>
        </w:rPr>
        <w:t> </w:t>
      </w:r>
      <w:r>
        <w:rPr>
          <w:color w:val="231F20"/>
        </w:rPr>
        <w:t>choisit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lutter</w:t>
      </w:r>
      <w:r>
        <w:rPr>
          <w:color w:val="231F20"/>
          <w:spacing w:val="8"/>
        </w:rPr>
        <w:t> </w:t>
      </w:r>
      <w:r>
        <w:rPr>
          <w:color w:val="231F20"/>
        </w:rPr>
        <w:t>pour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l’énergie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solaire.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effet,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Lucien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Keller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été</w:t>
      </w:r>
      <w:r>
        <w:rPr>
          <w:color w:val="231F20"/>
          <w:spacing w:val="22"/>
        </w:rPr>
        <w:t> </w:t>
      </w:r>
      <w:r>
        <w:rPr>
          <w:color w:val="231F20"/>
        </w:rPr>
        <w:t>un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précurseur</w:t>
      </w:r>
      <w:r>
        <w:rPr>
          <w:color w:val="231F20"/>
          <w:spacing w:val="22"/>
        </w:rPr>
        <w:t> </w:t>
      </w:r>
      <w:r>
        <w:rPr>
          <w:color w:val="231F20"/>
        </w:rPr>
        <w:t>et</w:t>
      </w:r>
      <w:r>
        <w:rPr>
          <w:color w:val="231F20"/>
          <w:spacing w:val="21"/>
        </w:rPr>
        <w:t> </w:t>
      </w:r>
      <w:r>
        <w:rPr>
          <w:color w:val="231F20"/>
        </w:rPr>
        <w:t>un</w:t>
      </w:r>
      <w:r>
        <w:rPr>
          <w:color w:val="231F20"/>
          <w:spacing w:val="11"/>
        </w:rPr>
        <w:t> </w:t>
      </w:r>
      <w:r>
        <w:rPr>
          <w:color w:val="231F20"/>
        </w:rPr>
        <w:t>acteur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majeur,</w:t>
      </w:r>
      <w:r>
        <w:rPr>
          <w:color w:val="231F20"/>
        </w:rPr>
        <w:t> dès</w:t>
      </w:r>
      <w:r>
        <w:rPr>
          <w:color w:val="231F20"/>
          <w:spacing w:val="11"/>
        </w:rPr>
        <w:t> </w:t>
      </w:r>
      <w:r>
        <w:rPr>
          <w:color w:val="231F20"/>
        </w:rPr>
        <w:t>le</w:t>
      </w:r>
      <w:r>
        <w:rPr>
          <w:color w:val="231F20"/>
          <w:spacing w:val="11"/>
        </w:rPr>
        <w:t> </w:t>
      </w:r>
      <w:r>
        <w:rPr>
          <w:color w:val="231F20"/>
        </w:rPr>
        <w:t>début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sa</w:t>
      </w:r>
      <w:r>
        <w:rPr>
          <w:color w:val="231F20"/>
          <w:spacing w:val="11"/>
        </w:rPr>
        <w:t> </w:t>
      </w:r>
      <w:r>
        <w:rPr>
          <w:color w:val="231F20"/>
        </w:rPr>
        <w:t>carri-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ère,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13"/>
        </w:rPr>
        <w:t> </w:t>
      </w:r>
      <w:r>
        <w:rPr>
          <w:color w:val="231F20"/>
        </w:rPr>
        <w:t>tous</w:t>
      </w:r>
      <w:r>
        <w:rPr>
          <w:color w:val="231F20"/>
          <w:spacing w:val="13"/>
        </w:rPr>
        <w:t> </w:t>
      </w:r>
      <w:r>
        <w:rPr>
          <w:color w:val="231F20"/>
        </w:rPr>
        <w:t>les</w:t>
      </w:r>
      <w:r>
        <w:rPr>
          <w:color w:val="231F20"/>
          <w:spacing w:val="13"/>
        </w:rPr>
        <w:t> </w:t>
      </w:r>
      <w:r>
        <w:rPr>
          <w:color w:val="231F20"/>
        </w:rPr>
        <w:t>domaines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l’utilisation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rationnelle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l’énergie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solaire.</w:t>
      </w:r>
      <w:r>
        <w:rPr>
          <w:color w:val="231F20"/>
          <w:spacing w:val="-22"/>
        </w:rPr>
        <w:t> </w:t>
      </w:r>
      <w:r>
        <w:rPr>
          <w:color w:val="231F20"/>
        </w:rPr>
        <w:t>Il</w:t>
      </w:r>
      <w:r>
        <w:rPr>
          <w:color w:val="231F20"/>
          <w:spacing w:val="-11"/>
        </w:rPr>
        <w:t> </w:t>
      </w:r>
      <w:r>
        <w:rPr>
          <w:color w:val="231F20"/>
        </w:rPr>
        <w:t>initie</w:t>
      </w:r>
      <w:r>
        <w:rPr>
          <w:color w:val="231F20"/>
          <w:spacing w:val="-11"/>
        </w:rPr>
        <w:t> </w:t>
      </w:r>
      <w:r>
        <w:rPr>
          <w:color w:val="231F20"/>
        </w:rPr>
        <w:t>divers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travaux</w:t>
      </w:r>
      <w:r>
        <w:rPr>
          <w:color w:val="231F20"/>
          <w:spacing w:val="47"/>
        </w:rPr>
        <w:t> </w:t>
      </w:r>
      <w:r>
        <w:rPr>
          <w:color w:val="231F20"/>
        </w:rPr>
        <w:t>de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recherche</w:t>
      </w:r>
      <w:r>
        <w:rPr>
          <w:color w:val="231F20"/>
          <w:spacing w:val="47"/>
        </w:rPr>
        <w:t> </w:t>
      </w:r>
      <w:r>
        <w:rPr>
          <w:color w:val="231F20"/>
        </w:rPr>
        <w:t>sur</w:t>
      </w:r>
      <w:r>
        <w:rPr>
          <w:color w:val="231F20"/>
          <w:spacing w:val="48"/>
        </w:rPr>
        <w:t> </w:t>
      </w:r>
      <w:r>
        <w:rPr>
          <w:color w:val="231F20"/>
        </w:rPr>
        <w:t>le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stockage</w:t>
      </w:r>
      <w:r>
        <w:rPr>
          <w:color w:val="231F20"/>
          <w:spacing w:val="47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l’énergie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solaire</w:t>
      </w:r>
      <w:r>
        <w:rPr>
          <w:color w:val="231F20"/>
          <w:spacing w:val="7"/>
        </w:rPr>
        <w:t> </w:t>
      </w:r>
      <w:r>
        <w:rPr>
          <w:color w:val="231F20"/>
        </w:rPr>
        <w:t>à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l’EPFL</w:t>
      </w:r>
      <w:r>
        <w:rPr>
          <w:color w:val="231F20"/>
          <w:spacing w:val="7"/>
        </w:rPr>
        <w:t> </w:t>
      </w:r>
      <w:r>
        <w:rPr>
          <w:color w:val="231F20"/>
        </w:rPr>
        <w:t>et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crée</w:t>
      </w:r>
      <w:r>
        <w:rPr>
          <w:color w:val="231F20"/>
          <w:spacing w:val="7"/>
        </w:rPr>
        <w:t> </w:t>
      </w:r>
      <w:r>
        <w:rPr>
          <w:color w:val="231F20"/>
        </w:rPr>
        <w:t>un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bureau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d’ingénieurs-conseils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matière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d’énergie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dans</w:t>
      </w:r>
      <w:r>
        <w:rPr>
          <w:color w:val="231F20"/>
        </w:rPr>
        <w:t> le bâtiment.</w:t>
      </w:r>
      <w:r>
        <w:rPr/>
      </w:r>
    </w:p>
    <w:p>
      <w:pPr>
        <w:pStyle w:val="BodyText"/>
        <w:spacing w:line="230" w:lineRule="exact"/>
        <w:ind w:right="8"/>
        <w:jc w:val="both"/>
      </w:pPr>
      <w:r>
        <w:rPr>
          <w:color w:val="231F20"/>
        </w:rPr>
        <w:t>Auteur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plus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70</w:t>
      </w:r>
      <w:r>
        <w:rPr>
          <w:color w:val="231F20"/>
          <w:spacing w:val="-6"/>
        </w:rPr>
        <w:t> </w:t>
      </w:r>
      <w:r>
        <w:rPr>
          <w:color w:val="231F20"/>
        </w:rPr>
        <w:t>publications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tech-</w:t>
      </w:r>
      <w:r>
        <w:rPr>
          <w:color w:val="231F20"/>
          <w:spacing w:val="26"/>
        </w:rPr>
        <w:t> </w:t>
      </w:r>
      <w:r>
        <w:rPr>
          <w:color w:val="231F20"/>
        </w:rPr>
        <w:t>niques</w:t>
      </w:r>
      <w:r>
        <w:rPr>
          <w:color w:val="231F20"/>
          <w:spacing w:val="-9"/>
        </w:rPr>
        <w:t> </w:t>
      </w:r>
      <w:r>
        <w:rPr>
          <w:color w:val="231F20"/>
        </w:rPr>
        <w:t>et</w:t>
      </w:r>
      <w:r>
        <w:rPr>
          <w:color w:val="231F20"/>
          <w:spacing w:val="-9"/>
        </w:rPr>
        <w:t> </w:t>
      </w:r>
      <w:r>
        <w:rPr>
          <w:color w:val="231F20"/>
        </w:rPr>
        <w:t>scientifiques</w:t>
      </w:r>
      <w:r>
        <w:rPr>
          <w:color w:val="231F20"/>
          <w:spacing w:val="-9"/>
        </w:rPr>
        <w:t> </w:t>
      </w:r>
      <w:r>
        <w:rPr>
          <w:color w:val="231F20"/>
        </w:rPr>
        <w:t>ainsi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commu-</w:t>
      </w:r>
      <w:r>
        <w:rPr>
          <w:color w:val="231F20"/>
          <w:spacing w:val="24"/>
        </w:rPr>
        <w:t> </w:t>
      </w:r>
      <w:r>
        <w:rPr>
          <w:color w:val="231F20"/>
        </w:rPr>
        <w:t>nications</w:t>
      </w:r>
      <w:r>
        <w:rPr>
          <w:color w:val="231F20"/>
          <w:spacing w:val="-12"/>
        </w:rPr>
        <w:t> </w:t>
      </w:r>
      <w:r>
        <w:rPr>
          <w:color w:val="231F20"/>
        </w:rPr>
        <w:t>lors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congrès</w:t>
      </w:r>
      <w:r>
        <w:rPr>
          <w:color w:val="231F20"/>
          <w:spacing w:val="-12"/>
        </w:rPr>
        <w:t> </w:t>
      </w:r>
      <w:r>
        <w:rPr>
          <w:color w:val="231F20"/>
        </w:rPr>
        <w:t>scientifiques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inter-</w:t>
      </w:r>
      <w:r>
        <w:rPr>
          <w:color w:val="231F20"/>
          <w:spacing w:val="28"/>
        </w:rPr>
        <w:t> </w:t>
      </w:r>
      <w:r>
        <w:rPr>
          <w:color w:val="231F20"/>
        </w:rPr>
        <w:t>nationaux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Lucien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Keller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mené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15"/>
        </w:rPr>
        <w:t> </w:t>
      </w:r>
      <w:r>
        <w:rPr>
          <w:color w:val="231F20"/>
        </w:rPr>
        <w:t>bien</w:t>
      </w:r>
      <w:r>
        <w:rPr>
          <w:color w:val="231F20"/>
          <w:spacing w:val="-15"/>
        </w:rPr>
        <w:t> </w:t>
      </w:r>
      <w:r>
        <w:rPr>
          <w:color w:val="231F20"/>
        </w:rPr>
        <w:t>divers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projets</w:t>
      </w:r>
      <w:r>
        <w:rPr>
          <w:color w:val="231F20"/>
        </w:rPr>
        <w:t> de </w:t>
      </w:r>
      <w:r>
        <w:rPr>
          <w:color w:val="231F20"/>
          <w:spacing w:val="-2"/>
        </w:rPr>
        <w:t>recherche</w:t>
      </w:r>
      <w:r>
        <w:rPr>
          <w:color w:val="231F20"/>
        </w:rPr>
        <w:t> </w:t>
      </w:r>
      <w:r>
        <w:rPr>
          <w:color w:val="231F20"/>
          <w:spacing w:val="-1"/>
        </w:rPr>
        <w:t>financés</w:t>
      </w:r>
      <w:r>
        <w:rPr>
          <w:color w:val="231F20"/>
        </w:rPr>
        <w:t> en particulier</w:t>
      </w:r>
      <w:r>
        <w:rPr/>
      </w:r>
    </w:p>
    <w:p>
      <w:pPr>
        <w:pStyle w:val="BodyText"/>
        <w:spacing w:line="230" w:lineRule="exact" w:before="52"/>
        <w:ind w:right="0" w:firstLine="0"/>
        <w:jc w:val="both"/>
      </w:pPr>
      <w:r>
        <w:rPr/>
        <w:br w:type="column"/>
      </w:r>
      <w:r>
        <w:rPr>
          <w:color w:val="231F20"/>
          <w:spacing w:val="-1"/>
        </w:rPr>
        <w:t>par</w:t>
      </w:r>
      <w:r>
        <w:rPr>
          <w:color w:val="231F20"/>
          <w:spacing w:val="5"/>
        </w:rPr>
        <w:t> </w:t>
      </w:r>
      <w:r>
        <w:rPr>
          <w:color w:val="231F20"/>
        </w:rPr>
        <w:t>l’Office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Fédéral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l’Energie.</w:t>
      </w:r>
      <w:r>
        <w:rPr>
          <w:color w:val="231F20"/>
          <w:spacing w:val="-6"/>
        </w:rPr>
        <w:t> </w:t>
      </w:r>
      <w:r>
        <w:rPr>
          <w:color w:val="231F20"/>
        </w:rPr>
        <w:t>Il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réalisé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nombreuses </w:t>
      </w:r>
      <w:r>
        <w:rPr>
          <w:color w:val="231F20"/>
        </w:rPr>
        <w:t>installations</w:t>
      </w:r>
      <w:r>
        <w:rPr>
          <w:color w:val="231F20"/>
          <w:spacing w:val="-1"/>
        </w:rPr>
        <w:t> techniques </w:t>
      </w:r>
      <w:r>
        <w:rPr>
          <w:color w:val="231F20"/>
        </w:rPr>
        <w:t>uti-</w:t>
      </w:r>
      <w:r>
        <w:rPr>
          <w:color w:val="231F20"/>
          <w:spacing w:val="26"/>
        </w:rPr>
        <w:t> </w:t>
      </w:r>
      <w:r>
        <w:rPr>
          <w:color w:val="231F20"/>
        </w:rPr>
        <w:t>lisant</w:t>
      </w:r>
      <w:r>
        <w:rPr>
          <w:color w:val="231F20"/>
          <w:spacing w:val="11"/>
        </w:rPr>
        <w:t> </w:t>
      </w:r>
      <w:r>
        <w:rPr>
          <w:color w:val="231F20"/>
        </w:rPr>
        <w:t>des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énergies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disponibles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manière</w:t>
      </w:r>
      <w:r>
        <w:rPr>
          <w:color w:val="231F20"/>
          <w:spacing w:val="25"/>
        </w:rPr>
        <w:t> </w:t>
      </w:r>
      <w:r>
        <w:rPr>
          <w:color w:val="231F20"/>
        </w:rPr>
        <w:t>optimale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plusieurs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réalisations</w:t>
      </w:r>
      <w:r>
        <w:rPr>
          <w:color w:val="231F20"/>
          <w:spacing w:val="-5"/>
        </w:rPr>
        <w:t> </w:t>
      </w:r>
      <w:r>
        <w:rPr>
          <w:color w:val="231F20"/>
        </w:rPr>
        <w:t>ont</w:t>
      </w:r>
      <w:r>
        <w:rPr>
          <w:color w:val="231F20"/>
          <w:spacing w:val="29"/>
        </w:rPr>
        <w:t> </w:t>
      </w:r>
      <w:r>
        <w:rPr>
          <w:color w:val="231F20"/>
        </w:rPr>
        <w:t>été</w:t>
      </w:r>
      <w:r>
        <w:rPr>
          <w:color w:val="231F20"/>
          <w:spacing w:val="13"/>
        </w:rPr>
        <w:t> </w:t>
      </w:r>
      <w:r>
        <w:rPr>
          <w:color w:val="231F20"/>
        </w:rPr>
        <w:t>primées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(Prix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Suisse,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Prix</w:t>
      </w:r>
      <w:r>
        <w:rPr>
          <w:color w:val="231F20"/>
          <w:spacing w:val="13"/>
        </w:rPr>
        <w:t> </w:t>
      </w:r>
      <w:r>
        <w:rPr>
          <w:color w:val="231F20"/>
        </w:rPr>
        <w:t>Ener-</w:t>
      </w:r>
      <w:r>
        <w:rPr>
          <w:color w:val="231F20"/>
          <w:spacing w:val="25"/>
        </w:rPr>
        <w:t> </w:t>
      </w:r>
      <w:r>
        <w:rPr>
          <w:color w:val="231F20"/>
        </w:rPr>
        <w:t>gie</w:t>
      </w:r>
      <w:r>
        <w:rPr>
          <w:color w:val="231F20"/>
          <w:spacing w:val="7"/>
        </w:rPr>
        <w:t> </w:t>
      </w:r>
      <w:r>
        <w:rPr>
          <w:color w:val="231F20"/>
        </w:rPr>
        <w:t>SIA,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Prix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Migros).</w:t>
      </w:r>
      <w:r>
        <w:rPr>
          <w:color w:val="231F20"/>
          <w:spacing w:val="-4"/>
        </w:rPr>
        <w:t> </w:t>
      </w:r>
      <w:r>
        <w:rPr>
          <w:color w:val="231F20"/>
        </w:rPr>
        <w:t>Dans</w:t>
      </w:r>
      <w:r>
        <w:rPr>
          <w:color w:val="231F20"/>
          <w:spacing w:val="7"/>
        </w:rPr>
        <w:t> </w:t>
      </w:r>
      <w:r>
        <w:rPr>
          <w:color w:val="231F20"/>
        </w:rPr>
        <w:t>le</w:t>
      </w:r>
      <w:r>
        <w:rPr>
          <w:color w:val="231F20"/>
          <w:spacing w:val="7"/>
        </w:rPr>
        <w:t> </w:t>
      </w:r>
      <w:r>
        <w:rPr>
          <w:color w:val="231F20"/>
        </w:rPr>
        <w:t>privé,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c’est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1978</w:t>
      </w:r>
      <w:r>
        <w:rPr>
          <w:color w:val="231F20"/>
          <w:spacing w:val="9"/>
        </w:rPr>
        <w:t> </w:t>
      </w:r>
      <w:r>
        <w:rPr>
          <w:color w:val="231F20"/>
        </w:rPr>
        <w:t>déjà</w:t>
      </w:r>
      <w:r>
        <w:rPr>
          <w:color w:val="231F20"/>
          <w:spacing w:val="9"/>
        </w:rPr>
        <w:t> </w:t>
      </w:r>
      <w:r>
        <w:rPr>
          <w:color w:val="231F20"/>
        </w:rPr>
        <w:t>qu’il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s’est</w:t>
      </w:r>
      <w:r>
        <w:rPr>
          <w:color w:val="231F20"/>
          <w:spacing w:val="9"/>
        </w:rPr>
        <w:t> </w:t>
      </w:r>
      <w:r>
        <w:rPr>
          <w:color w:val="231F20"/>
        </w:rPr>
        <w:t>construit</w:t>
      </w:r>
      <w:r>
        <w:rPr>
          <w:color w:val="231F20"/>
          <w:spacing w:val="9"/>
        </w:rPr>
        <w:t> </w:t>
      </w:r>
      <w:r>
        <w:rPr>
          <w:color w:val="231F20"/>
        </w:rPr>
        <w:t>une</w:t>
      </w:r>
      <w:r>
        <w:rPr>
          <w:color w:val="231F20"/>
          <w:spacing w:val="28"/>
        </w:rPr>
        <w:t> </w:t>
      </w:r>
      <w:r>
        <w:rPr>
          <w:color w:val="231F20"/>
        </w:rPr>
        <w:t>installation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solaire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plus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50</w:t>
      </w:r>
      <w:r>
        <w:rPr>
          <w:color w:val="231F20"/>
          <w:spacing w:val="9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dotée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d’un</w:t>
      </w:r>
      <w:r>
        <w:rPr>
          <w:color w:val="231F20"/>
        </w:rPr>
        <w:t> stock </w:t>
      </w:r>
      <w:r>
        <w:rPr>
          <w:color w:val="231F20"/>
          <w:spacing w:val="-1"/>
        </w:rPr>
        <w:t>saisonnier</w:t>
      </w:r>
      <w:r>
        <w:rPr>
          <w:color w:val="231F20"/>
        </w:rPr>
        <w:t> expérimental.</w:t>
      </w:r>
      <w:r>
        <w:rPr/>
      </w:r>
    </w:p>
    <w:p>
      <w:pPr>
        <w:pStyle w:val="BodyText"/>
        <w:spacing w:line="230" w:lineRule="exact"/>
        <w:ind w:right="8"/>
        <w:jc w:val="both"/>
      </w:pP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plus,</w:t>
      </w:r>
      <w:r>
        <w:rPr>
          <w:color w:val="231F20"/>
          <w:spacing w:val="-1"/>
        </w:rPr>
        <w:t> Lucien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Keller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exercé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nom-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breuses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charges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9"/>
        </w:rPr>
        <w:t> </w:t>
      </w:r>
      <w:r>
        <w:rPr>
          <w:color w:val="231F20"/>
        </w:rPr>
        <w:t>des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associations</w:t>
      </w:r>
      <w:r>
        <w:rPr>
          <w:color w:val="231F20"/>
          <w:spacing w:val="9"/>
        </w:rPr>
        <w:t> </w:t>
      </w:r>
      <w:r>
        <w:rPr>
          <w:color w:val="231F20"/>
        </w:rPr>
        <w:t>im-</w:t>
      </w:r>
      <w:r>
        <w:rPr>
          <w:color w:val="231F20"/>
          <w:spacing w:val="39"/>
        </w:rPr>
        <w:t> </w:t>
      </w:r>
      <w:r>
        <w:rPr>
          <w:color w:val="231F20"/>
        </w:rPr>
        <w:t>pliquées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39"/>
        </w:rPr>
        <w:t> </w:t>
      </w:r>
      <w:r>
        <w:rPr>
          <w:color w:val="231F20"/>
        </w:rPr>
        <w:t>le</w:t>
      </w:r>
      <w:r>
        <w:rPr>
          <w:color w:val="231F20"/>
          <w:spacing w:val="38"/>
        </w:rPr>
        <w:t> </w:t>
      </w:r>
      <w:r>
        <w:rPr>
          <w:color w:val="231F20"/>
        </w:rPr>
        <w:t>domaine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l’énergie:</w:t>
      </w:r>
      <w:r>
        <w:rPr>
          <w:color w:val="231F20"/>
          <w:spacing w:val="38"/>
        </w:rPr>
        <w:t> </w:t>
      </w:r>
      <w:r>
        <w:rPr>
          <w:color w:val="231F20"/>
        </w:rPr>
        <w:t>Il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été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président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Société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Suisse</w:t>
      </w:r>
      <w:r>
        <w:rPr>
          <w:color w:val="231F20"/>
          <w:spacing w:val="27"/>
        </w:rPr>
        <w:t> </w:t>
      </w:r>
      <w:r>
        <w:rPr>
          <w:color w:val="231F20"/>
        </w:rPr>
        <w:t>pour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l’Energie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  <w:spacing w:val="33"/>
        </w:rPr>
        <w:t> </w:t>
      </w:r>
      <w:r>
        <w:rPr>
          <w:color w:val="231F20"/>
        </w:rPr>
        <w:t>(1995</w:t>
      </w:r>
      <w:r>
        <w:rPr>
          <w:color w:val="231F20"/>
          <w:spacing w:val="32"/>
        </w:rPr>
        <w:t> </w:t>
      </w:r>
      <w:r>
        <w:rPr>
          <w:color w:val="231F20"/>
        </w:rPr>
        <w:t>–</w:t>
      </w:r>
      <w:r>
        <w:rPr>
          <w:color w:val="231F20"/>
          <w:spacing w:val="33"/>
        </w:rPr>
        <w:t> </w:t>
      </w:r>
      <w:r>
        <w:rPr>
          <w:color w:val="231F20"/>
        </w:rPr>
        <w:t>2005),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membre</w:t>
      </w:r>
      <w:r>
        <w:rPr>
          <w:color w:val="231F20"/>
          <w:spacing w:val="25"/>
        </w:rPr>
        <w:t> </w:t>
      </w:r>
      <w:r>
        <w:rPr>
          <w:color w:val="231F20"/>
        </w:rPr>
        <w:t>du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Jury</w:t>
      </w:r>
      <w:r>
        <w:rPr>
          <w:color w:val="231F20"/>
          <w:spacing w:val="11"/>
        </w:rPr>
        <w:t> </w:t>
      </w:r>
      <w:r>
        <w:rPr>
          <w:color w:val="231F20"/>
        </w:rPr>
        <w:t>du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Prix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Solaire,</w:t>
      </w:r>
      <w:r>
        <w:rPr>
          <w:color w:val="231F20"/>
        </w:rPr>
        <w:t> et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confondateur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l’Agence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Suisse</w:t>
      </w:r>
      <w:r>
        <w:rPr>
          <w:color w:val="231F20"/>
          <w:spacing w:val="-7"/>
        </w:rPr>
        <w:t> </w:t>
      </w:r>
      <w:r>
        <w:rPr>
          <w:color w:val="231F20"/>
        </w:rPr>
        <w:t>pour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Energies</w:t>
      </w:r>
      <w:r>
        <w:rPr>
          <w:color w:val="231F20"/>
          <w:spacing w:val="-7"/>
        </w:rPr>
        <w:t> </w:t>
      </w:r>
      <w:r>
        <w:rPr>
          <w:color w:val="231F20"/>
        </w:rPr>
        <w:t>Renouve-</w:t>
      </w:r>
      <w:r>
        <w:rPr>
          <w:color w:val="231F20"/>
          <w:spacing w:val="27"/>
        </w:rPr>
        <w:t> </w:t>
      </w:r>
      <w:r>
        <w:rPr>
          <w:color w:val="231F20"/>
        </w:rPr>
        <w:t>lables et l’Efficacité </w:t>
      </w:r>
      <w:r>
        <w:rPr>
          <w:color w:val="231F20"/>
          <w:spacing w:val="-1"/>
        </w:rPr>
        <w:t>Energétique.</w:t>
      </w:r>
      <w:r>
        <w:rPr/>
      </w:r>
    </w:p>
    <w:p>
      <w:pPr>
        <w:pStyle w:val="BodyText"/>
        <w:spacing w:line="230" w:lineRule="exact"/>
        <w:ind w:right="8"/>
        <w:jc w:val="both"/>
      </w:pPr>
      <w:r>
        <w:rPr>
          <w:color w:val="231F20"/>
          <w:spacing w:val="-2"/>
        </w:rPr>
        <w:t>Pour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son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travail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toute</w:t>
      </w:r>
      <w:r>
        <w:rPr>
          <w:color w:val="231F20"/>
          <w:spacing w:val="33"/>
        </w:rPr>
        <w:t> </w:t>
      </w:r>
      <w:r>
        <w:rPr>
          <w:color w:val="231F20"/>
        </w:rPr>
        <w:t>une</w:t>
      </w:r>
      <w:r>
        <w:rPr>
          <w:color w:val="231F20"/>
          <w:spacing w:val="32"/>
        </w:rPr>
        <w:t> </w:t>
      </w:r>
      <w:r>
        <w:rPr>
          <w:color w:val="231F20"/>
        </w:rPr>
        <w:t>vie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l’intérêt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l’énergie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solaire,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Lucien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Keller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reçoit</w:t>
      </w:r>
      <w:r>
        <w:rPr>
          <w:color w:val="231F20"/>
        </w:rPr>
        <w:t> le </w:t>
      </w:r>
      <w:r>
        <w:rPr>
          <w:color w:val="231F20"/>
          <w:spacing w:val="-1"/>
        </w:rPr>
        <w:t>Prix</w:t>
      </w:r>
      <w:r>
        <w:rPr>
          <w:color w:val="231F20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</w:rPr>
        <w:t> </w:t>
      </w:r>
      <w:r>
        <w:rPr>
          <w:color w:val="231F20"/>
          <w:spacing w:val="-1"/>
        </w:rPr>
        <w:t>Suisse</w:t>
      </w:r>
      <w:r>
        <w:rPr>
          <w:color w:val="231F20"/>
        </w:rPr>
        <w:t> 2018.</w:t>
      </w:r>
      <w:r>
        <w:rPr/>
      </w:r>
    </w:p>
    <w:p>
      <w:pPr>
        <w:spacing w:before="87"/>
        <w:ind w:left="100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color w:val="231F20"/>
          <w:spacing w:val="1"/>
          <w:sz w:val="14"/>
        </w:rPr>
        <w:t>Données</w:t>
      </w:r>
      <w:r>
        <w:rPr>
          <w:rFonts w:ascii="Theinhardt Black" w:hAnsi="Theinhardt Black"/>
          <w:b/>
          <w:color w:val="231F20"/>
          <w:sz w:val="14"/>
        </w:rPr>
        <w:t> </w:t>
      </w:r>
      <w:r>
        <w:rPr>
          <w:rFonts w:ascii="Theinhardt Black" w:hAnsi="Theinhardt Black"/>
          <w:b/>
          <w:color w:val="231F20"/>
          <w:spacing w:val="2"/>
          <w:sz w:val="14"/>
        </w:rPr>
        <w:t>personnelles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20"/>
        <w:ind w:left="10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Né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28.01.1948,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Originaire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Lavigny</w:t>
      </w:r>
      <w:r>
        <w:rPr>
          <w:rFonts w:ascii="Theinhardt Regular" w:hAnsi="Theinhardt Regular"/>
          <w:sz w:val="14"/>
        </w:rPr>
      </w:r>
    </w:p>
    <w:p>
      <w:pPr>
        <w:spacing w:before="32"/>
        <w:ind w:left="10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2"/>
          <w:sz w:val="14"/>
        </w:rPr>
        <w:t>1974</w:t>
      </w:r>
      <w:r>
        <w:rPr>
          <w:rFonts w:ascii="Theinhardt Regular" w:hAnsi="Theinhardt Regular"/>
          <w:color w:val="231F20"/>
          <w:spacing w:val="-2"/>
          <w:sz w:val="14"/>
        </w:rPr>
        <w:t>: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Docteur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ès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Sciences,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Université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Lausanne</w:t>
      </w:r>
      <w:r>
        <w:rPr>
          <w:rFonts w:ascii="Theinhardt Regular" w:hAnsi="Theinhardt Regular"/>
          <w:sz w:val="14"/>
        </w:rPr>
      </w:r>
    </w:p>
    <w:p>
      <w:pPr>
        <w:spacing w:before="32"/>
        <w:ind w:left="10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1978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: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Certifié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post-grade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énergie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l’EPFL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60" w:lineRule="exact" w:before="39"/>
        <w:ind w:left="100" w:right="115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1974-1978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:</w:t>
      </w:r>
      <w:r>
        <w:rPr>
          <w:rFonts w:ascii="Theinhardt Regular" w:hAnsi="Theinhardt Regular" w:cs="Theinhardt Regular" w:eastAsia="Theinhardt Regular"/>
          <w:color w:val="231F20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Initiateur</w:t>
      </w:r>
      <w:r>
        <w:rPr>
          <w:rFonts w:ascii="Theinhardt Regular" w:hAnsi="Theinhardt Regular" w:cs="Theinhardt Regular" w:eastAsia="Theinhardt Regular"/>
          <w:color w:val="231F20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recherches</w:t>
      </w:r>
      <w:r>
        <w:rPr>
          <w:rFonts w:ascii="Theinhardt Regular" w:hAnsi="Theinhardt Regular" w:cs="Theinhardt Regular" w:eastAsia="Theinhardt Regular"/>
          <w:color w:val="231F20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sur</w:t>
      </w:r>
      <w:r>
        <w:rPr>
          <w:rFonts w:ascii="Theinhardt Regular" w:hAnsi="Theinhardt Regular" w:cs="Theinhardt Regular" w:eastAsia="Theinhardt Regular"/>
          <w:color w:val="231F20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le</w:t>
      </w:r>
      <w:r>
        <w:rPr>
          <w:rFonts w:ascii="Theinhardt Regular" w:hAnsi="Theinhardt Regular" w:cs="Theinhardt Regular" w:eastAsia="Theinhardt Regular"/>
          <w:color w:val="231F20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stockage</w:t>
      </w:r>
      <w:r>
        <w:rPr>
          <w:rFonts w:ascii="Theinhardt Regular" w:hAnsi="Theinhardt Regular" w:cs="Theinhardt Regular" w:eastAsia="Theinhardt Regular"/>
          <w:color w:val="231F20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l’énergie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solaire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à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l’EPFL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60" w:lineRule="exact" w:before="56"/>
        <w:ind w:left="100" w:right="113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1978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:</w:t>
      </w:r>
      <w:r>
        <w:rPr>
          <w:rFonts w:ascii="Theinhardt Regular" w:hAnsi="Theinhardt Regular" w:cs="Theinhardt Regular" w:eastAsia="Theinhardt Regular"/>
          <w:color w:val="231F20"/>
          <w:spacing w:val="-1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Fondateur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d’un</w:t>
      </w:r>
      <w:r>
        <w:rPr>
          <w:rFonts w:ascii="Theinhardt Regular" w:hAnsi="Theinhardt Regular" w:cs="Theinhardt Regular" w:eastAsia="Theinhardt Regular"/>
          <w:color w:val="231F20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bureau</w:t>
      </w:r>
      <w:r>
        <w:rPr>
          <w:rFonts w:ascii="Theinhardt Regular" w:hAnsi="Theinhardt Regular" w:cs="Theinhardt Regular" w:eastAsia="Theinhardt Regular"/>
          <w:color w:val="231F20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d’études</w:t>
      </w:r>
      <w:r>
        <w:rPr>
          <w:rFonts w:ascii="Theinhardt Regular" w:hAnsi="Theinhardt Regular" w:cs="Theinhardt Regular" w:eastAsia="Theinhardt Regular"/>
          <w:color w:val="231F20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spécialisé</w:t>
      </w:r>
      <w:r>
        <w:rPr>
          <w:rFonts w:ascii="Theinhardt Regular" w:hAnsi="Theinhardt Regular" w:cs="Theinhardt Regular" w:eastAsia="Theinhardt Regular"/>
          <w:color w:val="231F20"/>
          <w:spacing w:val="-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dans</w:t>
      </w:r>
      <w:r>
        <w:rPr>
          <w:rFonts w:ascii="Theinhardt Regular" w:hAnsi="Theinhardt Regular" w:cs="Theinhardt Regular" w:eastAsia="Theinhardt Regular"/>
          <w:color w:val="231F20"/>
          <w:spacing w:val="5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les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énergies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renouvelables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et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les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économies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d’énergie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60" w:lineRule="exact" w:before="56"/>
        <w:ind w:left="100" w:right="113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Participation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à</w:t>
      </w:r>
      <w:r>
        <w:rPr>
          <w:rFonts w:ascii="Theinhardt Regular" w:hAnsi="Theinhardt Regular"/>
          <w:color w:val="231F20"/>
          <w:spacing w:val="-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la</w:t>
      </w:r>
      <w:r>
        <w:rPr>
          <w:rFonts w:ascii="Theinhardt Regular" w:hAnsi="Theinhardt Regular"/>
          <w:color w:val="231F20"/>
          <w:spacing w:val="-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conception</w:t>
      </w:r>
      <w:r>
        <w:rPr>
          <w:rFonts w:ascii="Theinhardt Regular" w:hAnsi="Theinhardt Regular"/>
          <w:color w:val="231F20"/>
          <w:spacing w:val="-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</w:t>
      </w:r>
      <w:r>
        <w:rPr>
          <w:rFonts w:ascii="Theinhardt Regular" w:hAnsi="Theinhardt Regular"/>
          <w:color w:val="231F20"/>
          <w:spacing w:val="-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bâtiments</w:t>
      </w:r>
      <w:r>
        <w:rPr>
          <w:rFonts w:ascii="Theinhardt Regular" w:hAnsi="Theinhardt Regular"/>
          <w:color w:val="231F20"/>
          <w:spacing w:val="-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et</w:t>
      </w:r>
      <w:r>
        <w:rPr>
          <w:rFonts w:ascii="Theinhardt Regular" w:hAnsi="Theinhardt Regular"/>
          <w:color w:val="231F20"/>
          <w:spacing w:val="-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installa-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tions</w:t>
      </w:r>
      <w:r>
        <w:rPr>
          <w:rFonts w:ascii="Theinhardt Regular" w:hAnsi="Theinhardt Regular"/>
          <w:color w:val="231F20"/>
          <w:spacing w:val="17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primées</w:t>
      </w:r>
      <w:r>
        <w:rPr>
          <w:rFonts w:ascii="Theinhardt Regular" w:hAnsi="Theinhardt Regular"/>
          <w:color w:val="231F20"/>
          <w:spacing w:val="17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(Prix</w:t>
      </w:r>
      <w:r>
        <w:rPr>
          <w:rFonts w:ascii="Theinhardt Regular" w:hAnsi="Theinhardt Regular"/>
          <w:color w:val="231F20"/>
          <w:spacing w:val="17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</w:t>
      </w:r>
      <w:r>
        <w:rPr>
          <w:rFonts w:ascii="Theinhardt Regular" w:hAnsi="Theinhardt Regular"/>
          <w:color w:val="231F20"/>
          <w:spacing w:val="17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SIA,</w:t>
      </w:r>
      <w:r>
        <w:rPr>
          <w:rFonts w:ascii="Theinhardt Regular" w:hAnsi="Theinhardt Regular"/>
          <w:color w:val="231F20"/>
          <w:spacing w:val="17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Prix</w:t>
      </w:r>
      <w:r>
        <w:rPr>
          <w:rFonts w:ascii="Theinhardt Regular" w:hAnsi="Theinhardt Regular"/>
          <w:color w:val="231F20"/>
          <w:spacing w:val="17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</w:t>
      </w:r>
      <w:r>
        <w:rPr>
          <w:rFonts w:ascii="Theinhardt Regular" w:hAnsi="Theinhardt Regular"/>
          <w:color w:val="231F20"/>
          <w:spacing w:val="17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Migros,</w:t>
      </w:r>
      <w:r>
        <w:rPr>
          <w:rFonts w:ascii="Theinhardt Regular" w:hAnsi="Theinhardt Regular"/>
          <w:color w:val="231F20"/>
          <w:spacing w:val="4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Prix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Solaire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Suisse)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00" w:right="114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Plus</w:t>
      </w:r>
      <w:r>
        <w:rPr>
          <w:rFonts w:ascii="Theinhardt Bold" w:hAnsi="Theinhardt Bold"/>
          <w:b/>
          <w:color w:val="231F20"/>
          <w:spacing w:val="8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que</w:t>
      </w:r>
      <w:r>
        <w:rPr>
          <w:rFonts w:ascii="Theinhardt Bold" w:hAnsi="Theinhardt Bold"/>
          <w:b/>
          <w:color w:val="231F20"/>
          <w:spacing w:val="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70</w:t>
      </w:r>
      <w:r>
        <w:rPr>
          <w:rFonts w:ascii="Theinhardt Bold" w:hAnsi="Theinhardt Bold"/>
          <w:b/>
          <w:color w:val="231F20"/>
          <w:spacing w:val="8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publications</w:t>
      </w:r>
      <w:r>
        <w:rPr>
          <w:rFonts w:ascii="Theinhardt Bold" w:hAnsi="Theinhardt Bold"/>
          <w:b/>
          <w:color w:val="231F20"/>
          <w:spacing w:val="1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et</w:t>
      </w:r>
      <w:r>
        <w:rPr>
          <w:rFonts w:ascii="Theinhardt Regular" w:hAnsi="Theinhardt Regular"/>
          <w:color w:val="231F20"/>
          <w:spacing w:val="9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communications</w:t>
      </w:r>
      <w:r>
        <w:rPr>
          <w:rFonts w:ascii="Theinhardt Regular" w:hAnsi="Theinhardt Regular"/>
          <w:color w:val="231F20"/>
          <w:spacing w:val="9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lors</w:t>
      </w:r>
      <w:r>
        <w:rPr>
          <w:rFonts w:ascii="Theinhardt Regular" w:hAnsi="Theinhardt Regular"/>
          <w:color w:val="231F20"/>
          <w:spacing w:val="9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</w:t>
      </w:r>
      <w:r>
        <w:rPr>
          <w:rFonts w:ascii="Theinhardt Regular" w:hAnsi="Theinhardt Regular"/>
          <w:color w:val="231F20"/>
          <w:spacing w:val="5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congrès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internationaux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00" w:right="114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6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ans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présidence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la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SVES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(Société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Vaudoise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pour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l’Energie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Solaire)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60" w:lineRule="exact" w:before="56"/>
        <w:ind w:left="100" w:right="115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Président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SSES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(Société</w:t>
      </w:r>
      <w:r>
        <w:rPr>
          <w:rFonts w:ascii="Theinhardt Regular" w:hAnsi="Theinhardt Regular" w:cs="Theinhardt Regular" w:eastAsia="Theinhardt Regular"/>
          <w:color w:val="231F20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Suisse</w:t>
      </w:r>
      <w:r>
        <w:rPr>
          <w:rFonts w:ascii="Theinhardt Regular" w:hAnsi="Theinhardt Regular" w:cs="Theinhardt Regular" w:eastAsia="Theinhardt Regular"/>
          <w:color w:val="231F20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pour</w:t>
      </w:r>
      <w:r>
        <w:rPr>
          <w:rFonts w:ascii="Theinhardt Regular" w:hAnsi="Theinhardt Regular" w:cs="Theinhardt Regular" w:eastAsia="Theinhardt Regular"/>
          <w:color w:val="231F20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l’Energie</w:t>
      </w:r>
      <w:r>
        <w:rPr>
          <w:rFonts w:ascii="Theinhardt Regular" w:hAnsi="Theinhardt Regular" w:cs="Theinhardt Regular" w:eastAsia="Theinhardt Regular"/>
          <w:color w:val="231F20"/>
          <w:spacing w:val="5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Solaire;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1995-2005)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before="49"/>
        <w:ind w:left="10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Membre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comités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Promes/Sofas/Swissolar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39"/>
        <w:ind w:left="100" w:right="113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Confondateur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l’AEE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(Organisation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faîtière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4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l’économie</w:t>
      </w:r>
      <w:r>
        <w:rPr>
          <w:rFonts w:ascii="Theinhardt Regular" w:hAnsi="Theinhardt Regular" w:cs="Theinhardt Regular" w:eastAsia="Theinhardt Regular"/>
          <w:color w:val="231F20"/>
          <w:spacing w:val="-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des</w:t>
      </w:r>
      <w:r>
        <w:rPr>
          <w:rFonts w:ascii="Theinhardt Regular" w:hAnsi="Theinhardt Regular" w:cs="Theinhardt Regular" w:eastAsia="Theinhardt Regular"/>
          <w:color w:val="231F20"/>
          <w:spacing w:val="-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énergies</w:t>
      </w:r>
      <w:r>
        <w:rPr>
          <w:rFonts w:ascii="Theinhardt Regular" w:hAnsi="Theinhardt Regular" w:cs="Theinhardt Regular" w:eastAsia="Theinhardt Regular"/>
          <w:color w:val="231F20"/>
          <w:spacing w:val="-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renouvelables</w:t>
      </w:r>
      <w:r>
        <w:rPr>
          <w:rFonts w:ascii="Theinhardt Regular" w:hAnsi="Theinhardt Regular" w:cs="Theinhardt Regular" w:eastAsia="Theinhardt Regular"/>
          <w:color w:val="231F20"/>
          <w:spacing w:val="-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et</w:t>
      </w:r>
      <w:r>
        <w:rPr>
          <w:rFonts w:ascii="Theinhardt Regular" w:hAnsi="Theinhardt Regular" w:cs="Theinhardt Regular" w:eastAsia="Theinhardt Regular"/>
          <w:color w:val="231F20"/>
          <w:spacing w:val="-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-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l’efficacité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énergétique)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3432" w:val="left" w:leader="none"/>
        </w:tabs>
        <w:spacing w:before="77"/>
        <w:ind w:left="100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b/>
          <w:color w:val="231F20"/>
          <w:spacing w:val="2"/>
          <w:sz w:val="14"/>
          <w:u w:val="dotted" w:color="231F20"/>
        </w:rPr>
        <w:t>Contact</w:t>
      </w:r>
      <w:r>
        <w:rPr>
          <w:rFonts w:asci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36" w:val="left" w:leader="none"/>
        </w:tabs>
        <w:spacing w:line="20" w:lineRule="atLeast"/>
        <w:ind w:left="10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before="20"/>
        <w:ind w:left="10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Lucien</w:t>
      </w:r>
      <w:r>
        <w:rPr>
          <w:rFonts w:ascii="Theinhardt Regular"/>
          <w:color w:val="231F20"/>
          <w:sz w:val="14"/>
        </w:rPr>
        <w:t> Keller, </w:t>
      </w:r>
      <w:r>
        <w:rPr>
          <w:rFonts w:ascii="Theinhardt Regular"/>
          <w:color w:val="231F20"/>
          <w:spacing w:val="-6"/>
          <w:sz w:val="14"/>
        </w:rPr>
        <w:t>1175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Lavigny/VD</w:t>
      </w:r>
      <w:r>
        <w:rPr>
          <w:rFonts w:ascii="Theinhardt Regular"/>
          <w:sz w:val="14"/>
        </w:rPr>
      </w:r>
    </w:p>
    <w:p>
      <w:pPr>
        <w:spacing w:after="0"/>
        <w:jc w:val="both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920" w:right="620"/>
          <w:cols w:num="3" w:equalWidth="0">
            <w:col w:w="3456" w:space="115"/>
            <w:col w:w="3456" w:space="115"/>
            <w:col w:w="3568"/>
          </w:cols>
        </w:sect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25"/>
          <w:szCs w:val="25"/>
        </w:rPr>
      </w:pPr>
    </w:p>
    <w:p>
      <w:pPr>
        <w:tabs>
          <w:tab w:pos="3675" w:val="left" w:leader="none"/>
        </w:tabs>
        <w:spacing w:line="200" w:lineRule="atLeast"/>
        <w:ind w:left="114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/>
          <w:sz w:val="20"/>
        </w:rPr>
        <w:drawing>
          <wp:inline distT="0" distB="0" distL="0" distR="0">
            <wp:extent cx="2117015" cy="28376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015" cy="283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</w:r>
      <w:r>
        <w:rPr>
          <w:rFonts w:ascii="Theinhardt Regular"/>
          <w:sz w:val="20"/>
        </w:rPr>
        <w:tab/>
      </w:r>
      <w:r>
        <w:rPr>
          <w:rFonts w:ascii="Theinhardt Regular"/>
          <w:sz w:val="20"/>
        </w:rPr>
        <w:drawing>
          <wp:inline distT="0" distB="0" distL="0" distR="0">
            <wp:extent cx="4374865" cy="284378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865" cy="284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</w:r>
    </w:p>
    <w:p>
      <w:pPr>
        <w:spacing w:after="0" w:line="200" w:lineRule="atLeast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2250" w:h="17180"/>
          <w:pgMar w:top="1000" w:bottom="280" w:left="920" w:right="620"/>
        </w:sectPr>
      </w:pPr>
    </w:p>
    <w:p>
      <w:pPr>
        <w:spacing w:before="26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3"/>
          <w:szCs w:val="13"/>
        </w:rPr>
      </w:pPr>
    </w:p>
    <w:p>
      <w:pPr>
        <w:numPr>
          <w:ilvl w:val="0"/>
          <w:numId w:val="1"/>
        </w:numPr>
        <w:tabs>
          <w:tab w:pos="328" w:val="left" w:leader="none"/>
        </w:tabs>
        <w:spacing w:before="0"/>
        <w:ind w:left="32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-4"/>
          <w:sz w:val="14"/>
        </w:rPr>
        <w:t>Dr.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Lucien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Keller</w:t>
      </w:r>
      <w:r>
        <w:rPr>
          <w:rFonts w:ascii="Theinhardt Bold"/>
          <w:sz w:val="14"/>
        </w:rPr>
      </w:r>
    </w:p>
    <w:p>
      <w:pPr>
        <w:spacing w:before="26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3"/>
          <w:szCs w:val="13"/>
        </w:rPr>
      </w:pPr>
    </w:p>
    <w:p>
      <w:pPr>
        <w:numPr>
          <w:ilvl w:val="0"/>
          <w:numId w:val="1"/>
        </w:numPr>
        <w:tabs>
          <w:tab w:pos="328" w:val="left" w:leader="none"/>
        </w:tabs>
        <w:spacing w:before="0"/>
        <w:ind w:left="32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Maison </w:t>
      </w:r>
      <w:r>
        <w:rPr>
          <w:rFonts w:ascii="Theinhardt Bold"/>
          <w:b/>
          <w:color w:val="231F20"/>
          <w:spacing w:val="-1"/>
          <w:sz w:val="14"/>
        </w:rPr>
        <w:t>de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Lucien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Keller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920" w:right="620"/>
          <w:cols w:num="2" w:equalWidth="0">
            <w:col w:w="3446" w:space="126"/>
            <w:col w:w="7138"/>
          </w:cols>
        </w:sect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5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13</w:t>
      </w:r>
      <w:r>
        <w:rPr>
          <w:rFonts w:ascii="Theinhardt Heavy"/>
          <w:sz w:val="14"/>
        </w:rPr>
      </w:r>
    </w:p>
    <w:sectPr>
      <w:type w:val="continuous"/>
      <w:pgSz w:w="12250" w:h="17180"/>
      <w:pgMar w:top="1000" w:bottom="2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2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2018-10-02T09:46:28Z</dcterms:created>
  <dcterms:modified xsi:type="dcterms:W3CDTF">2018-10-02T09:46:28Z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2018-10-02T00:00:00Z</vt:filetime>
  </property>
</Properties>
</file>