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63" w:val="left" w:leader="none"/>
        </w:tabs>
        <w:spacing w:line="230" w:lineRule="exact" w:before="38"/>
        <w:ind w:left="124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shape style="position:absolute;margin-left:36.851002pt;margin-top:52.91077pt;width:82.2043pt;height:60.204pt;mso-position-horizontal-relative:page;mso-position-vertical-relative:paragraph;z-index:1096" type="#_x0000_t75" stroked="false">
            <v:imagedata r:id="rId5" o:title=""/>
          </v:shape>
        </w:pict>
      </w:r>
      <w:r>
        <w:rPr/>
        <w:pict>
          <v:group style="position:absolute;margin-left:37.417301pt;margin-top:14.14727pt;width:.1pt;height:.1pt;mso-position-horizontal-relative:page;mso-position-vertical-relative:paragraph;z-index:-6304" coordorigin="748,283" coordsize="2,2">
            <v:shape style="position:absolute;left:748;top:283;width:2;height:2" coordorigin="748,283" coordsize="0,0" path="m748,283l748,28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9.590302pt;margin-top:14.14727pt;width:.1pt;height:.1pt;mso-position-horizontal-relative:page;mso-position-vertical-relative:paragraph;z-index:1144" coordorigin="3192,283" coordsize="2,2">
            <v:shape style="position:absolute;left:3192;top:283;width:2;height:2" coordorigin="3192,283" coordsize="0,0" path="m3192,283l3192,28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37.417301pt;margin-top:25.64727pt;width:.1pt;height:.1pt;mso-position-horizontal-relative:page;mso-position-vertical-relative:paragraph;z-index:-6256" coordorigin="748,513" coordsize="2,2">
            <v:shape style="position:absolute;left:748;top:513;width:2;height:2" coordorigin="748,513" coordsize="0,0" path="m748,513l748,51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9.590302pt;margin-top:25.64727pt;width:.1pt;height:.1pt;mso-position-horizontal-relative:page;mso-position-vertical-relative:paragraph;z-index:1192" coordorigin="3192,513" coordsize="2,2">
            <v:shape style="position:absolute;left:3192;top:513;width:2;height:2" coordorigin="3192,513" coordsize="0,0" path="m3192,513l3192,513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Kategorie</w:t>
      </w:r>
      <w:r>
        <w:rPr>
          <w:rFonts w:ascii="Theinhardt Black" w:hAnsi="Theinhardt Black"/>
          <w:b/>
          <w:color w:val="231F20"/>
          <w:spacing w:val="-1"/>
          <w:sz w:val="18"/>
          <w:u w:val="dotted" w:color="231F20"/>
        </w:rPr>
        <w:t> 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B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25"/>
          <w:sz w:val="18"/>
        </w:rPr>
        <w:t> </w:t>
      </w:r>
      <w:r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PlusEnergieBauten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2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PlusEnergieBau</w:t>
      </w:r>
      <w:r>
        <w:rPr>
          <w:rFonts w:ascii="Theinhardt Regular" w:hAnsi="Theinhardt Regular"/>
          <w:color w:val="231F20"/>
          <w:spacing w:val="-1"/>
          <w:position w:val="6"/>
          <w:sz w:val="10"/>
        </w:rPr>
        <w:t>®</w:t>
      </w:r>
      <w:r>
        <w:rPr>
          <w:rFonts w:ascii="Theinhardt Regular" w:hAnsi="Theinhardt Regular"/>
          <w:color w:val="231F20"/>
          <w:spacing w:val="-1"/>
          <w:sz w:val="18"/>
        </w:rPr>
        <w:t>-Solarpreis</w:t>
      </w:r>
      <w:r>
        <w:rPr>
          <w:rFonts w:ascii="Theinhardt Regular" w:hAnsi="Theinhardt Regular"/>
          <w:sz w:val="18"/>
        </w:rPr>
      </w:r>
    </w:p>
    <w:p>
      <w:pPr>
        <w:pStyle w:val="Heading1"/>
        <w:spacing w:line="230" w:lineRule="exact" w:before="38"/>
        <w:ind w:right="104"/>
        <w:jc w:val="both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31F20"/>
        </w:rPr>
        <w:t>Die</w:t>
      </w:r>
      <w:r>
        <w:rPr>
          <w:color w:val="231F20"/>
          <w:spacing w:val="-2"/>
        </w:rPr>
        <w:t> </w:t>
      </w:r>
      <w:r>
        <w:rPr>
          <w:color w:val="231F20"/>
        </w:rPr>
        <w:t>Simmental</w:t>
      </w:r>
      <w:r>
        <w:rPr>
          <w:color w:val="231F20"/>
          <w:spacing w:val="-2"/>
        </w:rPr>
        <w:t> </w:t>
      </w:r>
      <w:r>
        <w:rPr>
          <w:color w:val="231F20"/>
        </w:rPr>
        <w:t>Arena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ist</w:t>
      </w:r>
      <w:r>
        <w:rPr>
          <w:color w:val="231F20"/>
          <w:spacing w:val="-2"/>
        </w:rPr>
        <w:t> </w:t>
      </w:r>
      <w:r>
        <w:rPr>
          <w:color w:val="231F20"/>
        </w:rPr>
        <w:t>ein</w:t>
      </w:r>
      <w:r>
        <w:rPr>
          <w:color w:val="231F20"/>
          <w:spacing w:val="-2"/>
        </w:rPr>
        <w:t> </w:t>
      </w:r>
      <w:r>
        <w:rPr>
          <w:color w:val="231F20"/>
        </w:rPr>
        <w:t>Mehrzweckgebäude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der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Einwohnergemeinde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Zweisimmen</w:t>
      </w:r>
      <w:r>
        <w:rPr>
          <w:color w:val="231F20"/>
          <w:spacing w:val="-2"/>
        </w:rPr>
        <w:t> </w:t>
      </w:r>
      <w:r>
        <w:rPr>
          <w:color w:val="231F20"/>
        </w:rPr>
        <w:t>mit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Feu-</w:t>
      </w:r>
      <w:r>
        <w:rPr>
          <w:color w:val="231F20"/>
          <w:spacing w:val="69"/>
        </w:rPr>
        <w:t> </w:t>
      </w:r>
      <w:r>
        <w:rPr>
          <w:color w:val="231F20"/>
        </w:rPr>
        <w:t>erwehrmagazin,</w:t>
      </w:r>
      <w:r>
        <w:rPr>
          <w:color w:val="231F20"/>
          <w:spacing w:val="-9"/>
        </w:rPr>
        <w:t> </w:t>
      </w:r>
      <w:r>
        <w:rPr>
          <w:color w:val="231F20"/>
        </w:rPr>
        <w:t>Markt-</w:t>
      </w:r>
      <w:r>
        <w:rPr>
          <w:color w:val="231F20"/>
          <w:spacing w:val="-1"/>
        </w:rPr>
        <w:t> </w:t>
      </w:r>
      <w:r>
        <w:rPr>
          <w:color w:val="231F20"/>
        </w:rPr>
        <w:t>und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Veranstaltungshalle </w:t>
      </w:r>
      <w:r>
        <w:rPr>
          <w:color w:val="231F20"/>
        </w:rPr>
        <w:t>mit</w:t>
      </w:r>
      <w:r>
        <w:rPr>
          <w:color w:val="231F20"/>
          <w:spacing w:val="-1"/>
        </w:rPr>
        <w:t> Restauration.</w:t>
      </w:r>
      <w:r>
        <w:rPr>
          <w:color w:val="231F20"/>
          <w:spacing w:val="-9"/>
        </w:rPr>
        <w:t> </w:t>
      </w:r>
      <w:r>
        <w:rPr>
          <w:color w:val="231F20"/>
        </w:rPr>
        <w:t>Diese</w:t>
      </w:r>
      <w:r>
        <w:rPr>
          <w:color w:val="231F20"/>
          <w:spacing w:val="-1"/>
        </w:rPr>
        <w:t> solare </w:t>
      </w:r>
      <w:r>
        <w:rPr>
          <w:color w:val="231F20"/>
        </w:rPr>
        <w:t>Arena</w:t>
      </w:r>
      <w:r>
        <w:rPr>
          <w:color w:val="231F20"/>
          <w:spacing w:val="-1"/>
        </w:rPr>
        <w:t> wurde </w:t>
      </w:r>
      <w:r>
        <w:rPr>
          <w:color w:val="231F20"/>
        </w:rPr>
        <w:t>am</w:t>
      </w:r>
      <w:r>
        <w:rPr>
          <w:b w:val="0"/>
        </w:rPr>
      </w:r>
    </w:p>
    <w:p>
      <w:pPr>
        <w:spacing w:line="230" w:lineRule="exact" w:before="0"/>
        <w:ind w:left="117" w:right="103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21.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November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2017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Betrieb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genommen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weist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beheizte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Energiefläche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(EBF)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633</w:t>
      </w:r>
      <w:r>
        <w:rPr>
          <w:rFonts w:ascii="Theinhardt Bold" w:hAnsi="Theinhardt Bold" w:cs="Theinhardt Bold" w:eastAsia="Theinhardt Bold"/>
          <w:b/>
          <w:bCs/>
          <w:color w:val="231F20"/>
          <w:spacing w:val="4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</w:t>
      </w:r>
      <w:r>
        <w:rPr>
          <w:rFonts w:ascii="Theinhardt Bold" w:hAnsi="Theinhardt Bold" w:cs="Theinhardt Bold" w:eastAsia="Theinhardt Bold"/>
          <w:b/>
          <w:bCs/>
          <w:color w:val="231F20"/>
          <w:position w:val="6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position w:val="6"/>
          <w:sz w:val="10"/>
          <w:szCs w:val="10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auf.</w:t>
      </w:r>
      <w:r>
        <w:rPr>
          <w:rFonts w:ascii="Theinhardt Bold" w:hAnsi="Theinhardt Bold" w:cs="Theinhardt Bold" w:eastAsia="Theinhardt Bold"/>
          <w:b/>
          <w:bCs/>
          <w:color w:val="231F20"/>
          <w:spacing w:val="-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Sie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wird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unterschiedlich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benutzt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muss</w:t>
      </w:r>
      <w:r>
        <w:rPr>
          <w:rFonts w:ascii="Theinhardt Bold" w:hAnsi="Theinhardt Bold" w:cs="Theinhardt Bold" w:eastAsia="Theinhardt Bold"/>
          <w:b/>
          <w:bCs/>
          <w:color w:val="231F20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–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je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nach</w:t>
      </w:r>
      <w:r>
        <w:rPr>
          <w:rFonts w:ascii="Theinhardt Bold" w:hAnsi="Theinhardt Bold" w:cs="Theinhardt Bold" w:eastAsia="Theinhardt Bold"/>
          <w:b/>
          <w:bCs/>
          <w:color w:val="231F20"/>
          <w:spacing w:val="-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Veranstaltung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–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nur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teilweise</w:t>
      </w:r>
      <w:r>
        <w:rPr>
          <w:rFonts w:ascii="Theinhardt Bold" w:hAnsi="Theinhardt Bold" w:cs="Theinhardt Bold" w:eastAsia="Theinhardt Bold"/>
          <w:b/>
          <w:bCs/>
          <w:color w:val="231F20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beheizt</w:t>
      </w:r>
      <w:r>
        <w:rPr>
          <w:rFonts w:ascii="Theinhardt Bold" w:hAnsi="Theinhardt Bold" w:cs="Theinhardt Bold" w:eastAsia="Theinhardt Bold"/>
          <w:b/>
          <w:bCs/>
          <w:color w:val="231F20"/>
          <w:spacing w:val="5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werden.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3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Gebäude</w:t>
      </w:r>
      <w:r>
        <w:rPr>
          <w:rFonts w:ascii="Theinhardt Bold" w:hAnsi="Theinhardt Bold" w:cs="Theinhardt Bold" w:eastAsia="Theinhardt Bold"/>
          <w:b/>
          <w:bCs/>
          <w:color w:val="231F20"/>
          <w:spacing w:val="3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ist</w:t>
      </w:r>
      <w:r>
        <w:rPr>
          <w:rFonts w:ascii="Theinhardt Bold" w:hAnsi="Theinhardt Bold" w:cs="Theinhardt Bold" w:eastAsia="Theinhardt Bold"/>
          <w:b/>
          <w:bCs/>
          <w:color w:val="231F20"/>
          <w:spacing w:val="3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im</w:t>
      </w:r>
      <w:r>
        <w:rPr>
          <w:rFonts w:ascii="Theinhardt Bold" w:hAnsi="Theinhardt Bold" w:cs="Theinhardt Bold" w:eastAsia="Theinhardt Bold"/>
          <w:b/>
          <w:bCs/>
          <w:color w:val="231F20"/>
          <w:spacing w:val="3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Bodenbereich</w:t>
      </w:r>
      <w:r>
        <w:rPr>
          <w:rFonts w:ascii="Theinhardt Bold" w:hAnsi="Theinhardt Bold" w:cs="Theinhardt Bold" w:eastAsia="Theinhardt Bold"/>
          <w:b/>
          <w:bCs/>
          <w:color w:val="231F20"/>
          <w:spacing w:val="3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gut</w:t>
      </w:r>
      <w:r>
        <w:rPr>
          <w:rFonts w:ascii="Theinhardt Bold" w:hAnsi="Theinhardt Bold" w:cs="Theinhardt Bold" w:eastAsia="Theinhardt Bold"/>
          <w:b/>
          <w:bCs/>
          <w:color w:val="231F20"/>
          <w:spacing w:val="3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gedämmt</w:t>
      </w:r>
      <w:r>
        <w:rPr>
          <w:rFonts w:ascii="Theinhardt Bold" w:hAnsi="Theinhardt Bold" w:cs="Theinhardt Bold" w:eastAsia="Theinhardt Bold"/>
          <w:b/>
          <w:bCs/>
          <w:color w:val="231F20"/>
          <w:spacing w:val="3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3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verbraucht</w:t>
      </w:r>
      <w:r>
        <w:rPr>
          <w:rFonts w:ascii="Theinhardt Bold" w:hAnsi="Theinhardt Bold" w:cs="Theinhardt Bold" w:eastAsia="Theinhardt Bold"/>
          <w:b/>
          <w:bCs/>
          <w:color w:val="231F20"/>
          <w:spacing w:val="3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insgesamt</w:t>
      </w:r>
      <w:r>
        <w:rPr>
          <w:rFonts w:ascii="Theinhardt Bold" w:hAnsi="Theinhardt Bold" w:cs="Theinhardt Bold" w:eastAsia="Theinhardt Bold"/>
          <w:b/>
          <w:bCs/>
          <w:color w:val="231F20"/>
          <w:spacing w:val="3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81’100</w:t>
      </w:r>
      <w:r>
        <w:rPr>
          <w:rFonts w:ascii="Theinhardt Bold" w:hAnsi="Theinhardt Bold" w:cs="Theinhardt Bold" w:eastAsia="Theinhardt Bold"/>
          <w:b/>
          <w:bCs/>
          <w:color w:val="231F20"/>
          <w:spacing w:val="4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kWh/a.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180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starke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PV-Anlage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erzeugt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180’400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weist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einen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Solarstromüber-</w:t>
      </w:r>
      <w:r>
        <w:rPr>
          <w:rFonts w:ascii="Theinhardt Bold" w:hAnsi="Theinhardt Bold" w:cs="Theinhardt Bold" w:eastAsia="Theinhardt Bold"/>
          <w:b/>
          <w:bCs/>
          <w:color w:val="231F20"/>
          <w:spacing w:val="4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schuss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99’300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auf.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Eigenenergieversorgung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beträgt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222%.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südseitige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PV-</w:t>
      </w:r>
      <w:r>
        <w:rPr>
          <w:rFonts w:ascii="Theinhardt Bold" w:hAnsi="Theinhardt Bold" w:cs="Theinhardt Bold" w:eastAsia="Theinhardt Bold"/>
          <w:b/>
          <w:bCs/>
          <w:color w:val="231F20"/>
          <w:spacing w:val="4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ist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ganzflächig optimal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integriert.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2250" w:h="17180"/>
          <w:pgMar w:top="1000" w:bottom="280" w:left="620" w:right="900"/>
          <w:cols w:num="2" w:equalWidth="0">
            <w:col w:w="2564" w:space="115"/>
            <w:col w:w="805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7"/>
        <w:rPr>
          <w:rFonts w:ascii="Theinhardt Bold" w:hAnsi="Theinhardt Bold" w:cs="Theinhardt Bold" w:eastAsia="Theinhardt Bold"/>
          <w:b/>
          <w:bCs/>
          <w:sz w:val="23"/>
          <w:szCs w:val="23"/>
        </w:rPr>
      </w:pPr>
    </w:p>
    <w:p>
      <w:pPr>
        <w:spacing w:before="5"/>
        <w:ind w:left="117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/>
          <w:b/>
          <w:color w:val="0067B1"/>
          <w:spacing w:val="-3"/>
          <w:sz w:val="40"/>
        </w:rPr>
        <w:t>222%-PEB-Simmental</w:t>
      </w:r>
      <w:r>
        <w:rPr>
          <w:rFonts w:ascii="Theinhardt Black"/>
          <w:b/>
          <w:color w:val="0067B1"/>
          <w:spacing w:val="-8"/>
          <w:sz w:val="40"/>
        </w:rPr>
        <w:t> </w:t>
      </w:r>
      <w:r>
        <w:rPr>
          <w:rFonts w:ascii="Theinhardt Black"/>
          <w:b/>
          <w:color w:val="0067B1"/>
          <w:spacing w:val="2"/>
          <w:sz w:val="40"/>
        </w:rPr>
        <w:t>Arena,</w:t>
      </w:r>
      <w:r>
        <w:rPr>
          <w:rFonts w:ascii="Theinhardt Black"/>
          <w:b/>
          <w:color w:val="0067B1"/>
          <w:spacing w:val="-33"/>
          <w:sz w:val="40"/>
        </w:rPr>
        <w:t> </w:t>
      </w:r>
      <w:r>
        <w:rPr>
          <w:rFonts w:ascii="Theinhardt Black"/>
          <w:b/>
          <w:color w:val="0067B1"/>
          <w:spacing w:val="-3"/>
          <w:sz w:val="40"/>
        </w:rPr>
        <w:t>3770</w:t>
      </w:r>
      <w:r>
        <w:rPr>
          <w:rFonts w:ascii="Theinhardt Black"/>
          <w:b/>
          <w:color w:val="0067B1"/>
          <w:spacing w:val="-8"/>
          <w:sz w:val="40"/>
        </w:rPr>
        <w:t> </w:t>
      </w:r>
      <w:r>
        <w:rPr>
          <w:rFonts w:ascii="Theinhardt Black"/>
          <w:b/>
          <w:color w:val="0067B1"/>
          <w:spacing w:val="-1"/>
          <w:sz w:val="40"/>
        </w:rPr>
        <w:t>Zweisimmen/BE</w:t>
      </w:r>
      <w:r>
        <w:rPr>
          <w:rFonts w:ascii="Theinhardt Black"/>
          <w:sz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2250" w:h="17180"/>
          <w:pgMar w:top="1000" w:bottom="280" w:left="620" w:right="900"/>
        </w:sectPr>
      </w:pPr>
    </w:p>
    <w:p>
      <w:pPr>
        <w:pStyle w:val="BodyText"/>
        <w:spacing w:line="230" w:lineRule="exact" w:before="52"/>
        <w:ind w:right="0"/>
        <w:jc w:val="right"/>
      </w:pPr>
      <w:r>
        <w:rPr>
          <w:color w:val="231F20"/>
          <w:spacing w:val="-1"/>
        </w:rPr>
        <w:t>Die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color w:val="231F20"/>
        </w:rPr>
        <w:t>Berner </w:t>
      </w:r>
      <w:r>
        <w:rPr>
          <w:color w:val="231F20"/>
          <w:spacing w:val="5"/>
        </w:rPr>
        <w:t> </w:t>
      </w:r>
      <w:r>
        <w:rPr>
          <w:color w:val="231F20"/>
        </w:rPr>
        <w:t>Gemeinde 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Zweisimmen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hatte</w:t>
      </w:r>
      <w:r>
        <w:rPr>
          <w:color w:val="231F20"/>
          <w:spacing w:val="29"/>
        </w:rPr>
        <w:t> </w:t>
      </w:r>
      <w:r>
        <w:rPr>
          <w:color w:val="231F20"/>
        </w:rPr>
        <w:t>von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Anfang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an</w:t>
      </w:r>
      <w:r>
        <w:rPr>
          <w:color w:val="231F20"/>
          <w:spacing w:val="-9"/>
        </w:rPr>
        <w:t> </w:t>
      </w:r>
      <w:r>
        <w:rPr>
          <w:color w:val="231F20"/>
        </w:rPr>
        <w:t>ein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klares</w:t>
      </w:r>
      <w:r>
        <w:rPr>
          <w:color w:val="231F20"/>
          <w:spacing w:val="-9"/>
        </w:rPr>
        <w:t> </w:t>
      </w:r>
      <w:r>
        <w:rPr>
          <w:color w:val="231F20"/>
        </w:rPr>
        <w:t>Ziel: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Abhängig-</w:t>
      </w:r>
      <w:r>
        <w:rPr>
          <w:color w:val="231F20"/>
          <w:spacing w:val="47"/>
        </w:rPr>
        <w:t> </w:t>
      </w:r>
      <w:r>
        <w:rPr>
          <w:color w:val="231F20"/>
          <w:spacing w:val="-2"/>
        </w:rPr>
        <w:t>keit</w:t>
      </w:r>
      <w:r>
        <w:rPr>
          <w:color w:val="231F20"/>
          <w:spacing w:val="18"/>
        </w:rPr>
        <w:t> </w:t>
      </w:r>
      <w:r>
        <w:rPr>
          <w:color w:val="231F20"/>
        </w:rPr>
        <w:t>von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fossilen</w:t>
      </w:r>
      <w:r>
        <w:rPr>
          <w:color w:val="231F20"/>
          <w:spacing w:val="18"/>
        </w:rPr>
        <w:t> </w:t>
      </w:r>
      <w:r>
        <w:rPr>
          <w:color w:val="231F20"/>
        </w:rPr>
        <w:t>und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überregionalen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Ener-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gieträgern</w:t>
      </w:r>
      <w:r>
        <w:rPr>
          <w:color w:val="231F20"/>
          <w:spacing w:val="39"/>
        </w:rPr>
        <w:t> </w:t>
      </w:r>
      <w:r>
        <w:rPr>
          <w:color w:val="231F20"/>
        </w:rPr>
        <w:t>verringern.</w:t>
      </w:r>
      <w:r>
        <w:rPr>
          <w:color w:val="231F20"/>
          <w:spacing w:val="29"/>
        </w:rPr>
        <w:t> </w:t>
      </w:r>
      <w:r>
        <w:rPr>
          <w:color w:val="231F20"/>
        </w:rPr>
        <w:t>Deshalb</w:t>
      </w:r>
      <w:r>
        <w:rPr>
          <w:color w:val="231F20"/>
          <w:spacing w:val="39"/>
        </w:rPr>
        <w:t> </w:t>
      </w:r>
      <w:r>
        <w:rPr>
          <w:color w:val="231F20"/>
        </w:rPr>
        <w:t>stand</w:t>
      </w:r>
      <w:r>
        <w:rPr>
          <w:color w:val="231F20"/>
          <w:spacing w:val="40"/>
        </w:rPr>
        <w:t> </w:t>
      </w:r>
      <w:r>
        <w:rPr>
          <w:color w:val="231F20"/>
        </w:rPr>
        <w:t>fest,</w:t>
      </w:r>
      <w:r>
        <w:rPr>
          <w:color w:val="231F20"/>
          <w:spacing w:val="29"/>
        </w:rPr>
        <w:t> </w:t>
      </w:r>
      <w:r>
        <w:rPr>
          <w:color w:val="231F20"/>
        </w:rPr>
        <w:t>dass</w:t>
      </w:r>
      <w:r>
        <w:rPr>
          <w:color w:val="231F20"/>
          <w:spacing w:val="37"/>
        </w:rPr>
        <w:t> </w:t>
      </w:r>
      <w:r>
        <w:rPr>
          <w:color w:val="231F20"/>
        </w:rPr>
        <w:t>die</w:t>
      </w:r>
      <w:r>
        <w:rPr>
          <w:color w:val="231F20"/>
          <w:spacing w:val="38"/>
        </w:rPr>
        <w:t> </w:t>
      </w:r>
      <w:r>
        <w:rPr>
          <w:color w:val="231F20"/>
        </w:rPr>
        <w:t>öffentliche</w:t>
      </w:r>
      <w:r>
        <w:rPr>
          <w:color w:val="231F20"/>
          <w:spacing w:val="37"/>
        </w:rPr>
        <w:t> </w:t>
      </w:r>
      <w:r>
        <w:rPr>
          <w:color w:val="231F20"/>
        </w:rPr>
        <w:t>Simmental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Arena</w:t>
      </w:r>
      <w:r>
        <w:rPr>
          <w:color w:val="231F20"/>
          <w:spacing w:val="38"/>
        </w:rPr>
        <w:t> </w:t>
      </w:r>
      <w:r>
        <w:rPr>
          <w:color w:val="231F20"/>
        </w:rPr>
        <w:t>mit</w:t>
      </w:r>
      <w:r>
        <w:rPr>
          <w:color w:val="231F20"/>
          <w:spacing w:val="27"/>
        </w:rPr>
        <w:t> </w:t>
      </w:r>
      <w:r>
        <w:rPr>
          <w:color w:val="231F20"/>
        </w:rPr>
        <w:t>einer </w:t>
      </w:r>
      <w:r>
        <w:rPr>
          <w:color w:val="231F20"/>
          <w:spacing w:val="-2"/>
        </w:rPr>
        <w:t>PV-Anlage</w:t>
      </w:r>
      <w:r>
        <w:rPr>
          <w:color w:val="231F20"/>
        </w:rPr>
        <w:t> ausgestattet </w:t>
      </w:r>
      <w:r>
        <w:rPr>
          <w:color w:val="231F20"/>
          <w:spacing w:val="-1"/>
        </w:rPr>
        <w:t>werden</w:t>
      </w:r>
      <w:r>
        <w:rPr>
          <w:color w:val="231F20"/>
        </w:rPr>
        <w:t> </w:t>
      </w:r>
      <w:r>
        <w:rPr>
          <w:color w:val="231F20"/>
          <w:spacing w:val="-1"/>
        </w:rPr>
        <w:t>muss.</w:t>
      </w:r>
      <w:r>
        <w:rPr>
          <w:color w:val="231F20"/>
          <w:spacing w:val="29"/>
        </w:rPr>
        <w:t> </w:t>
      </w:r>
      <w:r>
        <w:rPr>
          <w:color w:val="231F20"/>
        </w:rPr>
        <w:t>Auf</w:t>
      </w:r>
      <w:r>
        <w:rPr>
          <w:color w:val="231F20"/>
          <w:spacing w:val="10"/>
        </w:rPr>
        <w:t> </w:t>
      </w:r>
      <w:r>
        <w:rPr>
          <w:color w:val="231F20"/>
        </w:rPr>
        <w:t>der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gesamten</w:t>
      </w:r>
      <w:r>
        <w:rPr>
          <w:color w:val="231F20"/>
          <w:spacing w:val="10"/>
        </w:rPr>
        <w:t> </w:t>
      </w:r>
      <w:r>
        <w:rPr>
          <w:color w:val="231F20"/>
        </w:rPr>
        <w:t>südlichen</w:t>
      </w:r>
      <w:r>
        <w:rPr>
          <w:color w:val="231F20"/>
          <w:spacing w:val="10"/>
        </w:rPr>
        <w:t> </w:t>
      </w:r>
      <w:r>
        <w:rPr>
          <w:color w:val="231F20"/>
        </w:rPr>
        <w:t>Dachfläche</w:t>
      </w:r>
      <w:r>
        <w:rPr>
          <w:color w:val="231F20"/>
          <w:spacing w:val="30"/>
        </w:rPr>
        <w:t> </w:t>
      </w:r>
      <w:r>
        <w:rPr>
          <w:color w:val="231F20"/>
        </w:rPr>
        <w:t>von</w:t>
      </w:r>
      <w:r>
        <w:rPr>
          <w:color w:val="231F20"/>
          <w:spacing w:val="-10"/>
        </w:rPr>
        <w:t> </w:t>
      </w:r>
      <w:r>
        <w:rPr>
          <w:color w:val="231F20"/>
        </w:rPr>
        <w:t>1’011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spacing w:val="-5"/>
          <w:position w:val="6"/>
          <w:sz w:val="10"/>
          <w:szCs w:val="10"/>
        </w:rPr>
        <w:t> </w:t>
      </w:r>
      <w:r>
        <w:rPr>
          <w:color w:val="231F20"/>
          <w:spacing w:val="-2"/>
        </w:rPr>
        <w:t>wurde</w:t>
      </w:r>
      <w:r>
        <w:rPr>
          <w:color w:val="231F20"/>
          <w:spacing w:val="-9"/>
        </w:rPr>
        <w:t> </w:t>
      </w:r>
      <w:r>
        <w:rPr>
          <w:color w:val="231F20"/>
        </w:rPr>
        <w:t>eine</w:t>
      </w:r>
      <w:r>
        <w:rPr>
          <w:color w:val="231F20"/>
          <w:spacing w:val="-10"/>
        </w:rPr>
        <w:t> </w:t>
      </w:r>
      <w:r>
        <w:rPr>
          <w:color w:val="231F20"/>
        </w:rPr>
        <w:t>180</w:t>
      </w:r>
      <w:r>
        <w:rPr>
          <w:color w:val="231F20"/>
          <w:spacing w:val="-10"/>
        </w:rPr>
        <w:t> </w:t>
      </w:r>
      <w:r>
        <w:rPr>
          <w:color w:val="231F20"/>
        </w:rPr>
        <w:t>kW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starke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PV-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Anlage</w:t>
      </w:r>
      <w:r>
        <w:rPr>
          <w:color w:val="231F20"/>
          <w:spacing w:val="43"/>
        </w:rPr>
        <w:t> </w:t>
      </w:r>
      <w:r>
        <w:rPr>
          <w:color w:val="231F20"/>
        </w:rPr>
        <w:t>integriert.</w:t>
      </w:r>
      <w:r>
        <w:rPr>
          <w:color w:val="231F20"/>
          <w:spacing w:val="33"/>
        </w:rPr>
        <w:t> </w:t>
      </w:r>
      <w:r>
        <w:rPr>
          <w:color w:val="231F20"/>
        </w:rPr>
        <w:t>Sie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produziert</w:t>
      </w:r>
      <w:r>
        <w:rPr>
          <w:color w:val="231F20"/>
          <w:spacing w:val="44"/>
        </w:rPr>
        <w:t> </w:t>
      </w:r>
      <w:r>
        <w:rPr>
          <w:color w:val="231F20"/>
        </w:rPr>
        <w:t>180’400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kWh/a</w:t>
      </w:r>
      <w:r>
        <w:rPr>
          <w:color w:val="231F20"/>
          <w:spacing w:val="14"/>
        </w:rPr>
        <w:t> </w:t>
      </w:r>
      <w:r>
        <w:rPr>
          <w:color w:val="231F20"/>
        </w:rPr>
        <w:t>–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genug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Strom</w:t>
      </w:r>
      <w:r>
        <w:rPr>
          <w:color w:val="231F20"/>
          <w:spacing w:val="14"/>
        </w:rPr>
        <w:t> </w:t>
      </w:r>
      <w:r>
        <w:rPr>
          <w:color w:val="231F20"/>
        </w:rPr>
        <w:t>um</w:t>
      </w:r>
      <w:r>
        <w:rPr>
          <w:color w:val="231F20"/>
          <w:spacing w:val="14"/>
        </w:rPr>
        <w:t> </w:t>
      </w:r>
      <w:r>
        <w:rPr>
          <w:color w:val="231F20"/>
        </w:rPr>
        <w:t>das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Feuerwehr-</w:t>
      </w:r>
      <w:r>
        <w:rPr>
          <w:color w:val="231F20"/>
          <w:spacing w:val="25"/>
        </w:rPr>
        <w:t> </w:t>
      </w:r>
      <w:r>
        <w:rPr>
          <w:color w:val="231F20"/>
        </w:rPr>
        <w:t>magazin </w:t>
      </w:r>
      <w:r>
        <w:rPr>
          <w:color w:val="231F20"/>
          <w:spacing w:val="12"/>
        </w:rPr>
        <w:t> </w:t>
      </w:r>
      <w:r>
        <w:rPr>
          <w:color w:val="231F20"/>
        </w:rPr>
        <w:t>und </w:t>
      </w:r>
      <w:r>
        <w:rPr>
          <w:color w:val="231F20"/>
          <w:spacing w:val="12"/>
        </w:rPr>
        <w:t> </w:t>
      </w:r>
      <w:r>
        <w:rPr>
          <w:color w:val="231F20"/>
        </w:rPr>
        <w:t>die </w:t>
      </w:r>
      <w:r>
        <w:rPr>
          <w:color w:val="231F20"/>
          <w:spacing w:val="12"/>
        </w:rPr>
        <w:t> </w:t>
      </w:r>
      <w:r>
        <w:rPr>
          <w:color w:val="231F20"/>
        </w:rPr>
        <w:t>Markthalle </w:t>
      </w:r>
      <w:r>
        <w:rPr>
          <w:color w:val="231F20"/>
          <w:spacing w:val="12"/>
        </w:rPr>
        <w:t> </w:t>
      </w:r>
      <w:r>
        <w:rPr>
          <w:color w:val="231F20"/>
        </w:rPr>
        <w:t>mit </w:t>
      </w:r>
      <w:r>
        <w:rPr>
          <w:color w:val="231F20"/>
          <w:spacing w:val="12"/>
        </w:rPr>
        <w:t> </w:t>
      </w:r>
      <w:r>
        <w:rPr>
          <w:color w:val="231F20"/>
        </w:rPr>
        <w:t>81’100</w:t>
      </w:r>
      <w:r>
        <w:rPr/>
      </w:r>
    </w:p>
    <w:p>
      <w:pPr>
        <w:pStyle w:val="BodyText"/>
        <w:spacing w:line="234" w:lineRule="exact" w:before="9"/>
        <w:ind w:right="0"/>
        <w:jc w:val="both"/>
      </w:pPr>
      <w:r>
        <w:rPr>
          <w:color w:val="231F20"/>
          <w:spacing w:val="-2"/>
        </w:rPr>
        <w:t>kWh/a</w:t>
      </w:r>
      <w:r>
        <w:rPr>
          <w:color w:val="231F20"/>
        </w:rPr>
        <w:t> zu </w:t>
      </w:r>
      <w:r>
        <w:rPr>
          <w:color w:val="231F20"/>
          <w:spacing w:val="-1"/>
        </w:rPr>
        <w:t>versorgen.</w:t>
      </w:r>
      <w:r>
        <w:rPr/>
      </w:r>
    </w:p>
    <w:p>
      <w:pPr>
        <w:pStyle w:val="BodyText"/>
        <w:spacing w:line="232" w:lineRule="auto" w:before="1"/>
        <w:ind w:right="8" w:firstLine="226"/>
        <w:jc w:val="both"/>
      </w:pPr>
      <w:r>
        <w:rPr>
          <w:color w:val="231F20"/>
        </w:rPr>
        <w:t>Mit</w:t>
      </w:r>
      <w:r>
        <w:rPr>
          <w:color w:val="231F20"/>
          <w:spacing w:val="39"/>
        </w:rPr>
        <w:t> </w:t>
      </w:r>
      <w:r>
        <w:rPr>
          <w:color w:val="231F20"/>
        </w:rPr>
        <w:t>dem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Solarstromüberschuss</w:t>
      </w:r>
      <w:r>
        <w:rPr>
          <w:color w:val="231F20"/>
          <w:spacing w:val="39"/>
        </w:rPr>
        <w:t> </w:t>
      </w:r>
      <w:r>
        <w:rPr>
          <w:color w:val="231F20"/>
        </w:rPr>
        <w:t>von</w:t>
      </w:r>
      <w:r>
        <w:rPr>
          <w:color w:val="231F20"/>
          <w:spacing w:val="23"/>
        </w:rPr>
        <w:t> </w:t>
      </w:r>
      <w:r>
        <w:rPr>
          <w:color w:val="231F20"/>
        </w:rPr>
        <w:t>99’300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kWh/a</w:t>
      </w:r>
      <w:r>
        <w:rPr>
          <w:color w:val="231F20"/>
          <w:spacing w:val="-1"/>
        </w:rPr>
        <w:t> werden </w:t>
      </w:r>
      <w:r>
        <w:rPr>
          <w:color w:val="231F20"/>
        </w:rPr>
        <w:t>noch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drei</w:t>
      </w:r>
      <w:r>
        <w:rPr>
          <w:color w:val="231F20"/>
          <w:spacing w:val="-1"/>
        </w:rPr>
        <w:t> </w:t>
      </w:r>
      <w:r>
        <w:rPr>
          <w:color w:val="231F20"/>
        </w:rPr>
        <w:t>Schulhäu-</w:t>
      </w:r>
      <w:r>
        <w:rPr>
          <w:color w:val="231F20"/>
          <w:spacing w:val="23"/>
        </w:rPr>
        <w:t> </w:t>
      </w:r>
      <w:r>
        <w:rPr>
          <w:color w:val="231F20"/>
          <w:spacing w:val="-5"/>
        </w:rPr>
        <w:t>ser,</w:t>
      </w:r>
      <w:r>
        <w:rPr>
          <w:color w:val="231F20"/>
          <w:spacing w:val="2"/>
        </w:rPr>
        <w:t> </w:t>
      </w:r>
      <w:r>
        <w:rPr>
          <w:color w:val="231F20"/>
        </w:rPr>
        <w:t>zwei</w:t>
      </w:r>
      <w:r>
        <w:rPr>
          <w:color w:val="231F20"/>
          <w:spacing w:val="-2"/>
        </w:rPr>
        <w:t> Turnhallen</w:t>
      </w:r>
      <w:r>
        <w:rPr>
          <w:color w:val="231F20"/>
          <w:spacing w:val="12"/>
        </w:rPr>
        <w:t> </w:t>
      </w:r>
      <w:r>
        <w:rPr>
          <w:color w:val="231F20"/>
        </w:rPr>
        <w:t>und</w:t>
      </w:r>
      <w:r>
        <w:rPr>
          <w:color w:val="231F20"/>
          <w:spacing w:val="12"/>
        </w:rPr>
        <w:t> </w:t>
      </w:r>
      <w:r>
        <w:rPr>
          <w:color w:val="231F20"/>
        </w:rPr>
        <w:t>der</w:t>
      </w:r>
      <w:r>
        <w:rPr>
          <w:color w:val="231F20"/>
          <w:spacing w:val="12"/>
        </w:rPr>
        <w:t> </w:t>
      </w:r>
      <w:r>
        <w:rPr>
          <w:color w:val="231F20"/>
        </w:rPr>
        <w:t>Gemeindesaal</w:t>
      </w:r>
      <w:r>
        <w:rPr>
          <w:color w:val="231F20"/>
          <w:spacing w:val="28"/>
        </w:rPr>
        <w:t> </w:t>
      </w:r>
      <w:r>
        <w:rPr>
          <w:color w:val="231F20"/>
        </w:rPr>
        <w:t>mit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Strom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versorgt.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Eigenenergieversor-</w:t>
      </w:r>
      <w:r>
        <w:rPr>
          <w:color w:val="231F20"/>
          <w:spacing w:val="25"/>
        </w:rPr>
        <w:t> </w:t>
      </w:r>
      <w:r>
        <w:rPr>
          <w:color w:val="231F20"/>
        </w:rPr>
        <w:t>gung </w:t>
      </w:r>
      <w:r>
        <w:rPr>
          <w:color w:val="231F20"/>
          <w:spacing w:val="-1"/>
        </w:rPr>
        <w:t>beträgt</w:t>
      </w:r>
      <w:r>
        <w:rPr>
          <w:color w:val="231F20"/>
        </w:rPr>
        <w:t> </w:t>
      </w:r>
      <w:r>
        <w:rPr>
          <w:color w:val="231F20"/>
          <w:spacing w:val="-1"/>
        </w:rPr>
        <w:t>somit</w:t>
      </w:r>
      <w:r>
        <w:rPr>
          <w:color w:val="231F20"/>
        </w:rPr>
        <w:t> rund 222%.</w:t>
      </w:r>
      <w:r>
        <w:rPr/>
      </w:r>
    </w:p>
    <w:p>
      <w:pPr>
        <w:pStyle w:val="BodyText"/>
        <w:spacing w:line="228" w:lineRule="exact"/>
        <w:ind w:left="0" w:right="8"/>
        <w:jc w:val="right"/>
      </w:pPr>
      <w:r>
        <w:rPr>
          <w:color w:val="231F20"/>
        </w:rPr>
        <w:t>Finanziert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wurde</w:t>
      </w:r>
      <w:r>
        <w:rPr>
          <w:color w:val="231F20"/>
          <w:spacing w:val="35"/>
        </w:rPr>
        <w:t> </w:t>
      </w:r>
      <w:r>
        <w:rPr>
          <w:color w:val="231F20"/>
        </w:rPr>
        <w:t>die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PV-Anlage</w:t>
      </w:r>
      <w:r>
        <w:rPr>
          <w:color w:val="231F20"/>
          <w:spacing w:val="35"/>
        </w:rPr>
        <w:t> </w:t>
      </w:r>
      <w:r>
        <w:rPr>
          <w:color w:val="231F20"/>
        </w:rPr>
        <w:t>mittels</w:t>
      </w:r>
      <w:r>
        <w:rPr/>
      </w:r>
    </w:p>
    <w:p>
      <w:pPr>
        <w:pStyle w:val="BodyText"/>
        <w:spacing w:line="232" w:lineRule="auto" w:before="1"/>
        <w:ind w:right="0"/>
        <w:jc w:val="both"/>
      </w:pPr>
      <w:r>
        <w:rPr>
          <w:color w:val="231F20"/>
          <w:spacing w:val="-1"/>
        </w:rPr>
        <w:t>«Crowdfunding»</w:t>
      </w:r>
      <w:r>
        <w:rPr>
          <w:color w:val="231F20"/>
          <w:spacing w:val="32"/>
        </w:rPr>
        <w:t> </w:t>
      </w:r>
      <w:r>
        <w:rPr>
          <w:color w:val="231F20"/>
        </w:rPr>
        <w:t>des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Vereins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Oberriedson-</w:t>
      </w:r>
      <w:r>
        <w:rPr>
          <w:color w:val="231F20"/>
          <w:spacing w:val="47"/>
        </w:rPr>
        <w:t> </w:t>
      </w:r>
      <w:r>
        <w:rPr>
          <w:color w:val="231F20"/>
        </w:rPr>
        <w:t>ne.</w:t>
      </w:r>
      <w:r>
        <w:rPr>
          <w:color w:val="231F20"/>
          <w:spacing w:val="-8"/>
        </w:rPr>
        <w:t> </w:t>
      </w:r>
      <w:r>
        <w:rPr>
          <w:color w:val="231F20"/>
        </w:rPr>
        <w:t>Somit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hatte</w:t>
      </w:r>
      <w:r>
        <w:rPr>
          <w:color w:val="231F20"/>
          <w:spacing w:val="2"/>
        </w:rPr>
        <w:t> </w:t>
      </w:r>
      <w:r>
        <w:rPr>
          <w:color w:val="231F20"/>
        </w:rPr>
        <w:t>jeder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Bürger</w:t>
      </w:r>
      <w:r>
        <w:rPr>
          <w:color w:val="231F20"/>
          <w:spacing w:val="2"/>
        </w:rPr>
        <w:t> </w:t>
      </w:r>
      <w:r>
        <w:rPr>
          <w:color w:val="231F20"/>
        </w:rPr>
        <w:t>der</w:t>
      </w:r>
      <w:r>
        <w:rPr>
          <w:color w:val="231F20"/>
          <w:spacing w:val="2"/>
        </w:rPr>
        <w:t> </w:t>
      </w:r>
      <w:r>
        <w:rPr>
          <w:color w:val="231F20"/>
        </w:rPr>
        <w:t>Gemeinde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Zweisimmen,</w:t>
      </w:r>
      <w:r>
        <w:rPr>
          <w:color w:val="231F20"/>
          <w:spacing w:val="13"/>
        </w:rPr>
        <w:t> </w:t>
      </w:r>
      <w:r>
        <w:rPr>
          <w:color w:val="231F20"/>
        </w:rPr>
        <w:t>auch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ohne</w:t>
      </w:r>
      <w:r>
        <w:rPr>
          <w:color w:val="231F20"/>
          <w:spacing w:val="24"/>
        </w:rPr>
        <w:t> </w:t>
      </w:r>
      <w:r>
        <w:rPr>
          <w:color w:val="231F20"/>
        </w:rPr>
        <w:t>geeignetes</w:t>
      </w:r>
      <w:r>
        <w:rPr>
          <w:color w:val="231F20"/>
          <w:spacing w:val="23"/>
        </w:rPr>
        <w:t> </w:t>
      </w:r>
      <w:r>
        <w:rPr>
          <w:color w:val="231F20"/>
        </w:rPr>
        <w:t>Dach,</w:t>
      </w:r>
      <w:r>
        <w:rPr>
          <w:color w:val="231F20"/>
          <w:spacing w:val="23"/>
        </w:rPr>
        <w:t> </w:t>
      </w:r>
      <w:r>
        <w:rPr>
          <w:color w:val="231F20"/>
        </w:rPr>
        <w:t>die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Möglichkeit</w:t>
      </w:r>
      <w:r>
        <w:rPr>
          <w:color w:val="231F20"/>
          <w:spacing w:val="12"/>
        </w:rPr>
        <w:t> </w:t>
      </w:r>
      <w:r>
        <w:rPr>
          <w:color w:val="231F20"/>
        </w:rPr>
        <w:t>in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Solarenergie</w:t>
      </w:r>
      <w:r>
        <w:rPr>
          <w:color w:val="231F20"/>
          <w:spacing w:val="12"/>
        </w:rPr>
        <w:t> </w:t>
      </w:r>
      <w:r>
        <w:rPr>
          <w:color w:val="231F20"/>
        </w:rPr>
        <w:t>zu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investie-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ren.</w:t>
      </w:r>
      <w:r>
        <w:rPr/>
      </w:r>
    </w:p>
    <w:p>
      <w:pPr>
        <w:pStyle w:val="BodyText"/>
        <w:spacing w:line="232" w:lineRule="auto"/>
        <w:ind w:right="8" w:firstLine="226"/>
        <w:jc w:val="both"/>
      </w:pPr>
      <w:r>
        <w:rPr>
          <w:color w:val="231F20"/>
          <w:spacing w:val="-1"/>
        </w:rPr>
        <w:t>Die</w:t>
      </w:r>
      <w:r>
        <w:rPr>
          <w:color w:val="231F20"/>
          <w:spacing w:val="38"/>
        </w:rPr>
        <w:t> </w:t>
      </w:r>
      <w:r>
        <w:rPr>
          <w:color w:val="231F20"/>
        </w:rPr>
        <w:t>ganzflächig</w:t>
      </w:r>
      <w:r>
        <w:rPr>
          <w:color w:val="231F20"/>
          <w:spacing w:val="39"/>
        </w:rPr>
        <w:t> </w:t>
      </w:r>
      <w:r>
        <w:rPr>
          <w:color w:val="231F20"/>
        </w:rPr>
        <w:t>optimal</w:t>
      </w:r>
      <w:r>
        <w:rPr>
          <w:color w:val="231F20"/>
          <w:spacing w:val="38"/>
        </w:rPr>
        <w:t> </w:t>
      </w:r>
      <w:r>
        <w:rPr>
          <w:color w:val="231F20"/>
        </w:rPr>
        <w:t>integrierte</w:t>
      </w:r>
      <w:r>
        <w:rPr>
          <w:color w:val="231F20"/>
          <w:spacing w:val="39"/>
        </w:rPr>
        <w:t> </w:t>
      </w:r>
      <w:r>
        <w:rPr>
          <w:color w:val="231F20"/>
          <w:spacing w:val="-3"/>
        </w:rPr>
        <w:t>PV-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Anlage</w:t>
      </w:r>
      <w:r>
        <w:rPr>
          <w:color w:val="231F20"/>
          <w:spacing w:val="9"/>
        </w:rPr>
        <w:t> </w:t>
      </w:r>
      <w:r>
        <w:rPr>
          <w:color w:val="231F20"/>
        </w:rPr>
        <w:t>ist</w:t>
      </w:r>
      <w:r>
        <w:rPr>
          <w:color w:val="231F20"/>
          <w:spacing w:val="9"/>
        </w:rPr>
        <w:t> </w:t>
      </w:r>
      <w:r>
        <w:rPr>
          <w:color w:val="231F20"/>
        </w:rPr>
        <w:t>leistungsfähig</w:t>
      </w:r>
      <w:r>
        <w:rPr>
          <w:color w:val="231F20"/>
          <w:spacing w:val="9"/>
        </w:rPr>
        <w:t> </w:t>
      </w:r>
      <w:r>
        <w:rPr>
          <w:color w:val="231F20"/>
        </w:rPr>
        <w:t>und</w:t>
      </w:r>
      <w:r>
        <w:rPr>
          <w:color w:val="231F20"/>
          <w:spacing w:val="9"/>
        </w:rPr>
        <w:t> </w:t>
      </w:r>
      <w:r>
        <w:rPr>
          <w:color w:val="231F20"/>
        </w:rPr>
        <w:t>harmoniert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ausgezeichnet</w:t>
      </w:r>
      <w:r>
        <w:rPr>
          <w:color w:val="231F20"/>
          <w:spacing w:val="-10"/>
        </w:rPr>
        <w:t> </w:t>
      </w:r>
      <w:r>
        <w:rPr>
          <w:color w:val="231F20"/>
        </w:rPr>
        <w:t>mit</w:t>
      </w:r>
      <w:r>
        <w:rPr>
          <w:color w:val="231F20"/>
          <w:spacing w:val="-10"/>
        </w:rPr>
        <w:t> </w:t>
      </w:r>
      <w:r>
        <w:rPr>
          <w:color w:val="231F20"/>
        </w:rPr>
        <w:t>der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schlichten</w:t>
      </w:r>
      <w:r>
        <w:rPr>
          <w:color w:val="231F20"/>
          <w:spacing w:val="-10"/>
        </w:rPr>
        <w:t> </w:t>
      </w:r>
      <w:r>
        <w:rPr>
          <w:color w:val="231F20"/>
        </w:rPr>
        <w:t>Holzfassa-</w:t>
      </w:r>
      <w:r>
        <w:rPr>
          <w:color w:val="231F20"/>
          <w:spacing w:val="48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des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Mehrzweckgebäudes.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-14"/>
        </w:rPr>
        <w:t> </w:t>
      </w:r>
      <w:r>
        <w:rPr>
          <w:color w:val="231F20"/>
        </w:rPr>
        <w:t>Simmental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Arena</w:t>
      </w:r>
      <w:r>
        <w:rPr>
          <w:color w:val="231F20"/>
          <w:spacing w:val="-1"/>
        </w:rPr>
        <w:t> </w:t>
      </w:r>
      <w:r>
        <w:rPr>
          <w:color w:val="231F20"/>
        </w:rPr>
        <w:t>fügt</w:t>
      </w:r>
      <w:r>
        <w:rPr>
          <w:color w:val="231F20"/>
          <w:spacing w:val="-1"/>
        </w:rPr>
        <w:t> </w:t>
      </w:r>
      <w:r>
        <w:rPr>
          <w:color w:val="231F20"/>
        </w:rPr>
        <w:t>sich</w:t>
      </w:r>
      <w:r>
        <w:rPr>
          <w:color w:val="231F20"/>
          <w:spacing w:val="-1"/>
        </w:rPr>
        <w:t> </w:t>
      </w:r>
      <w:r>
        <w:rPr>
          <w:color w:val="231F20"/>
        </w:rPr>
        <w:t>auch</w:t>
      </w:r>
      <w:r>
        <w:rPr>
          <w:color w:val="231F20"/>
          <w:spacing w:val="-1"/>
        </w:rPr>
        <w:t> </w:t>
      </w:r>
      <w:r>
        <w:rPr>
          <w:color w:val="231F20"/>
        </w:rPr>
        <w:t>perfekt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das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Ortsbild</w:t>
      </w:r>
      <w:r>
        <w:rPr>
          <w:color w:val="231F20"/>
          <w:spacing w:val="27"/>
        </w:rPr>
        <w:t> </w:t>
      </w:r>
      <w:r>
        <w:rPr>
          <w:color w:val="231F20"/>
        </w:rPr>
        <w:t>von </w:t>
      </w:r>
      <w:r>
        <w:rPr>
          <w:color w:val="231F20"/>
          <w:spacing w:val="-1"/>
        </w:rPr>
        <w:t>Zweisimmen</w:t>
      </w:r>
      <w:r>
        <w:rPr>
          <w:color w:val="231F20"/>
        </w:rPr>
        <w:t> ein und wertet es </w:t>
      </w:r>
      <w:r>
        <w:rPr>
          <w:color w:val="231F20"/>
          <w:spacing w:val="-2"/>
        </w:rPr>
        <w:t>auf.</w:t>
      </w:r>
      <w:r>
        <w:rPr/>
      </w:r>
    </w:p>
    <w:p>
      <w:pPr>
        <w:pStyle w:val="BodyText"/>
        <w:spacing w:line="232" w:lineRule="auto"/>
        <w:ind w:right="0" w:firstLine="226"/>
        <w:jc w:val="both"/>
      </w:pPr>
      <w:r>
        <w:rPr>
          <w:color w:val="231F20"/>
          <w:spacing w:val="-1"/>
        </w:rPr>
        <w:t>Dieser</w:t>
      </w:r>
      <w:r>
        <w:rPr>
          <w:color w:val="231F20"/>
          <w:spacing w:val="-7"/>
        </w:rPr>
        <w:t> </w:t>
      </w:r>
      <w:r>
        <w:rPr>
          <w:color w:val="231F20"/>
        </w:rPr>
        <w:t>vorbildliche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PlusEnergieBau</w:t>
      </w:r>
      <w:r>
        <w:rPr>
          <w:color w:val="231F20"/>
          <w:spacing w:val="-7"/>
        </w:rPr>
        <w:t> </w:t>
      </w:r>
      <w:r>
        <w:rPr>
          <w:color w:val="231F20"/>
        </w:rPr>
        <w:t>dient</w:t>
      </w:r>
      <w:r>
        <w:rPr>
          <w:color w:val="231F20"/>
          <w:spacing w:val="35"/>
        </w:rPr>
        <w:t> </w:t>
      </w:r>
      <w:r>
        <w:rPr>
          <w:color w:val="231F20"/>
        </w:rPr>
        <w:t>als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Vorzeigeprojekt</w:t>
      </w:r>
      <w:r>
        <w:rPr>
          <w:color w:val="231F20"/>
          <w:spacing w:val="43"/>
        </w:rPr>
        <w:t> </w:t>
      </w:r>
      <w:r>
        <w:rPr>
          <w:color w:val="231F20"/>
        </w:rPr>
        <w:t>für</w:t>
      </w:r>
      <w:r>
        <w:rPr>
          <w:color w:val="231F20"/>
          <w:spacing w:val="42"/>
        </w:rPr>
        <w:t> </w:t>
      </w:r>
      <w:r>
        <w:rPr>
          <w:color w:val="231F20"/>
        </w:rPr>
        <w:t>die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Energiewende.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PlusEnergie-Arena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wird</w:t>
      </w:r>
      <w:r>
        <w:rPr>
          <w:color w:val="231F20"/>
          <w:spacing w:val="25"/>
        </w:rPr>
        <w:t> </w:t>
      </w:r>
      <w:r>
        <w:rPr>
          <w:color w:val="231F20"/>
        </w:rPr>
        <w:t>deshalb</w:t>
      </w:r>
      <w:r>
        <w:rPr>
          <w:color w:val="231F20"/>
          <w:spacing w:val="26"/>
        </w:rPr>
        <w:t> </w:t>
      </w:r>
      <w:r>
        <w:rPr>
          <w:color w:val="231F20"/>
        </w:rPr>
        <w:t>mit</w:t>
      </w:r>
      <w:r>
        <w:rPr>
          <w:color w:val="231F20"/>
          <w:spacing w:val="43"/>
        </w:rPr>
        <w:t> </w:t>
      </w:r>
      <w:r>
        <w:rPr>
          <w:color w:val="231F20"/>
        </w:rPr>
        <w:t>dem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PlusEnergieBau-Solarpreis</w:t>
      </w:r>
      <w:r>
        <w:rPr>
          <w:color w:val="231F20"/>
          <w:spacing w:val="17"/>
        </w:rPr>
        <w:t> </w:t>
      </w:r>
      <w:r>
        <w:rPr>
          <w:color w:val="231F20"/>
        </w:rPr>
        <w:t>2018</w:t>
      </w:r>
      <w:r>
        <w:rPr>
          <w:color w:val="231F20"/>
          <w:spacing w:val="17"/>
        </w:rPr>
        <w:t> </w:t>
      </w:r>
      <w:r>
        <w:rPr>
          <w:color w:val="231F20"/>
        </w:rPr>
        <w:t>aus-</w:t>
      </w:r>
      <w:r>
        <w:rPr>
          <w:color w:val="231F20"/>
          <w:spacing w:val="29"/>
        </w:rPr>
        <w:t> </w:t>
      </w:r>
      <w:r>
        <w:rPr>
          <w:color w:val="231F20"/>
        </w:rPr>
        <w:t>gezeichnet.</w:t>
      </w:r>
      <w:r>
        <w:rPr/>
      </w:r>
    </w:p>
    <w:p>
      <w:pPr>
        <w:spacing w:line="230" w:lineRule="exact" w:before="52"/>
        <w:ind w:left="117" w:right="3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commune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bernoise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Zweisimmen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tou-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jours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objectif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réduire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dépen-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dance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vis-à-vis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sources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d’énergie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fossiles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suprarégionales.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Il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était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donc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clair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Simmental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Arena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allait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être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doté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d’une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instal-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PV.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17" w:right="2" w:firstLine="226"/>
        <w:jc w:val="right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système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180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kWc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1’011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w w:val="104"/>
          <w:position w:val="6"/>
          <w:sz w:val="10"/>
          <w:szCs w:val="10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bien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intégré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toute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surface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sud.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Il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produit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180’400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kWh/a,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assez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d’énergie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81’100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kWh/a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utilisés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par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local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pompiers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halle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marchés.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L’excédent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courant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99’300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kWh/a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alimente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par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ailleurs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trois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écoles,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salles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gymnastique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salle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réunion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communale.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L’autoproduction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s’élève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ainsi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4" w:lineRule="exact" w:before="9"/>
        <w:ind w:left="117" w:right="0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/>
          <w:i/>
          <w:color w:val="231F20"/>
          <w:spacing w:val="-2"/>
          <w:sz w:val="18"/>
        </w:rPr>
        <w:t>222%.</w:t>
      </w:r>
      <w:r>
        <w:rPr>
          <w:rFonts w:ascii="Theinhardt Regular Italic"/>
          <w:sz w:val="18"/>
        </w:rPr>
      </w:r>
    </w:p>
    <w:p>
      <w:pPr>
        <w:spacing w:line="232" w:lineRule="auto" w:before="1"/>
        <w:ind w:left="117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Construit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grâce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financement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par-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ticipatif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l’association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Oberriedsonne,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PV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Simmental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Arena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a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per-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toute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personne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domiciliée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Zweisim-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men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d’investir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solaire,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même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approprié.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0"/>
        <w:ind w:left="117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Parfaitement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intégrée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toiture,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l’installation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efficace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et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s’accorde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bien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façades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bois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bâtiment.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Simmental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Arena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fond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outre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harmoni-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eusement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paysage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urbain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Zweisim-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men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met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valeur.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0"/>
        <w:ind w:left="117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/>
          <w:i/>
          <w:color w:val="231F20"/>
          <w:spacing w:val="-1"/>
          <w:sz w:val="18"/>
        </w:rPr>
        <w:t>Ce</w:t>
      </w:r>
      <w:r>
        <w:rPr>
          <w:rFonts w:ascii="Theinhardt Regular Italic" w:hAnsi="Theinhardt Regular Italic"/>
          <w:i/>
          <w:color w:val="231F20"/>
          <w:spacing w:val="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bâtiment</w:t>
      </w:r>
      <w:r>
        <w:rPr>
          <w:rFonts w:ascii="Theinhardt Regular Italic" w:hAnsi="Theinhardt Regular Italic"/>
          <w:i/>
          <w:color w:val="231F20"/>
          <w:spacing w:val="2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à</w:t>
      </w:r>
      <w:r>
        <w:rPr>
          <w:rFonts w:ascii="Theinhardt Regular Italic" w:hAnsi="Theinhardt Regular Italic"/>
          <w:i/>
          <w:color w:val="231F20"/>
          <w:spacing w:val="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énergie</w:t>
      </w:r>
      <w:r>
        <w:rPr>
          <w:rFonts w:ascii="Theinhardt Regular Italic" w:hAnsi="Theinhardt Regular Italic"/>
          <w:i/>
          <w:color w:val="231F20"/>
          <w:spacing w:val="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positive</w:t>
      </w:r>
      <w:r>
        <w:rPr>
          <w:rFonts w:ascii="Theinhardt Regular Italic" w:hAnsi="Theinhardt Regular Italic"/>
          <w:i/>
          <w:color w:val="231F20"/>
          <w:spacing w:val="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exemplaire</w:t>
      </w:r>
      <w:r>
        <w:rPr>
          <w:rFonts w:ascii="Theinhardt Regular Italic" w:hAnsi="Theinhardt Regular Italic"/>
          <w:i/>
          <w:color w:val="231F20"/>
          <w:spacing w:val="29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sert</w:t>
      </w:r>
      <w:r>
        <w:rPr>
          <w:rFonts w:ascii="Theinhardt Regular Italic" w:hAnsi="Theinhardt Regular Italic"/>
          <w:i/>
          <w:color w:val="231F20"/>
          <w:spacing w:val="-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de</w:t>
      </w:r>
      <w:r>
        <w:rPr>
          <w:rFonts w:ascii="Theinhardt Regular Italic" w:hAnsi="Theinhardt Regular Italic"/>
          <w:i/>
          <w:color w:val="231F20"/>
          <w:spacing w:val="-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modèle</w:t>
      </w:r>
      <w:r>
        <w:rPr>
          <w:rFonts w:ascii="Theinhardt Regular Italic" w:hAnsi="Theinhardt Regular Italic"/>
          <w:i/>
          <w:color w:val="231F20"/>
          <w:spacing w:val="-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pour</w:t>
      </w:r>
      <w:r>
        <w:rPr>
          <w:rFonts w:ascii="Theinhardt Regular Italic" w:hAnsi="Theinhardt Regular Italic"/>
          <w:i/>
          <w:color w:val="231F20"/>
          <w:spacing w:val="-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la</w:t>
      </w:r>
      <w:r>
        <w:rPr>
          <w:rFonts w:ascii="Theinhardt Regular Italic" w:hAnsi="Theinhardt Regular Italic"/>
          <w:i/>
          <w:color w:val="231F20"/>
          <w:spacing w:val="-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transition</w:t>
      </w:r>
      <w:r>
        <w:rPr>
          <w:rFonts w:ascii="Theinhardt Regular Italic" w:hAnsi="Theinhardt Regular Italic"/>
          <w:i/>
          <w:color w:val="231F20"/>
          <w:spacing w:val="-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énergétique.</w:t>
      </w:r>
      <w:r>
        <w:rPr>
          <w:rFonts w:ascii="Theinhardt Regular Italic" w:hAnsi="Theinhardt Regular Italic"/>
          <w:i/>
          <w:color w:val="231F20"/>
          <w:spacing w:val="35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6"/>
          <w:sz w:val="18"/>
        </w:rPr>
        <w:t>Le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Simmental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Arena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reçoit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le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Prix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Solaire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BEP</w:t>
      </w:r>
      <w:r>
        <w:rPr>
          <w:rFonts w:ascii="Theinhardt Regular Italic" w:hAnsi="Theinhardt Regular Italic"/>
          <w:i/>
          <w:color w:val="231F20"/>
          <w:spacing w:val="2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2018.</w:t>
      </w:r>
      <w:r>
        <w:rPr>
          <w:rFonts w:ascii="Theinhardt Regular Italic" w:hAnsi="Theinhardt Regular Italic"/>
          <w:sz w:val="18"/>
        </w:rPr>
      </w:r>
    </w:p>
    <w:p>
      <w:pPr>
        <w:spacing w:before="87"/>
        <w:ind w:left="117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  <w:t>Technische </w:t>
      </w:r>
      <w:r>
        <w:rPr>
          <w:rFonts w:ascii="Theinhardt Black"/>
          <w:b/>
          <w:color w:val="231F20"/>
          <w:spacing w:val="1"/>
          <w:sz w:val="14"/>
        </w:rPr>
        <w:t>Daten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17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66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Wärmedämmung</w:t>
      </w:r>
      <w:r>
        <w:rPr>
          <w:rFonts w:ascii="Theinhardt Bold" w:hAnsi="Theinhardt Bold"/>
          <w:sz w:val="14"/>
        </w:rPr>
      </w:r>
    </w:p>
    <w:p>
      <w:pPr>
        <w:tabs>
          <w:tab w:pos="1327" w:val="left" w:leader="none"/>
        </w:tabs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Wand:</w:t>
        <w:tab/>
        <w:t>20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36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U-Wert:</w:t>
      </w:r>
      <w:r>
        <w:rPr>
          <w:rFonts w:ascii="Theinhardt Regular"/>
          <w:color w:val="231F20"/>
          <w:sz w:val="14"/>
        </w:rPr>
        <w:t>  </w:t>
      </w:r>
      <w:r>
        <w:rPr>
          <w:rFonts w:ascii="Theinhardt Regular"/>
          <w:color w:val="231F20"/>
          <w:spacing w:val="34"/>
          <w:sz w:val="14"/>
        </w:rPr>
        <w:t> </w:t>
      </w:r>
      <w:r>
        <w:rPr>
          <w:rFonts w:ascii="Theinhardt Regular"/>
          <w:color w:val="231F20"/>
          <w:sz w:val="14"/>
        </w:rPr>
        <w:t>0.20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332" w:val="left" w:leader="none"/>
        </w:tabs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Dach:</w:t>
        <w:tab/>
      </w:r>
      <w:r>
        <w:rPr>
          <w:rFonts w:ascii="Theinhardt Regular"/>
          <w:color w:val="231F20"/>
          <w:spacing w:val="-2"/>
          <w:sz w:val="14"/>
        </w:rPr>
        <w:t>21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36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U-Wert: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16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0.19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325" w:val="left" w:leader="none"/>
        </w:tabs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Boden:</w:t>
        <w:tab/>
        <w:t>40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36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U-Wert:</w:t>
      </w:r>
      <w:r>
        <w:rPr>
          <w:rFonts w:ascii="Theinhardt Regular"/>
          <w:color w:val="231F20"/>
          <w:sz w:val="14"/>
        </w:rPr>
        <w:t>  </w:t>
      </w:r>
      <w:r>
        <w:rPr>
          <w:rFonts w:ascii="Theinhardt Regular"/>
          <w:color w:val="231F20"/>
          <w:spacing w:val="34"/>
          <w:sz w:val="14"/>
        </w:rPr>
        <w:t> </w:t>
      </w:r>
      <w:r>
        <w:rPr>
          <w:rFonts w:ascii="Theinhardt Regular"/>
          <w:color w:val="231F20"/>
          <w:sz w:val="14"/>
        </w:rPr>
        <w:t>0.20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904" w:val="left" w:leader="none"/>
        </w:tabs>
        <w:spacing w:line="172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Fenster:</w:t>
        <w:tab/>
        <w:t>U-Wert: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2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1.30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spacing w:before="32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3"/>
          <w:sz w:val="14"/>
        </w:rPr>
        <w:t>E</w:t>
      </w:r>
      <w:r>
        <w:rPr>
          <w:rFonts w:ascii="Theinhardt Bold"/>
          <w:b/>
          <w:color w:val="231F20"/>
          <w:spacing w:val="2"/>
          <w:sz w:val="14"/>
        </w:rPr>
        <w:t>ner</w:t>
      </w:r>
      <w:r>
        <w:rPr>
          <w:rFonts w:ascii="Theinhardt Bold"/>
          <w:b/>
          <w:color w:val="231F20"/>
          <w:spacing w:val="1"/>
          <w:sz w:val="14"/>
        </w:rPr>
        <w:t>g</w:t>
      </w:r>
      <w:r>
        <w:rPr>
          <w:rFonts w:ascii="Theinhardt Bold"/>
          <w:b/>
          <w:color w:val="231F20"/>
          <w:spacing w:val="2"/>
          <w:sz w:val="14"/>
        </w:rPr>
        <w:t>iebeda</w:t>
      </w:r>
      <w:r>
        <w:rPr>
          <w:rFonts w:ascii="Theinhardt Bold"/>
          <w:b/>
          <w:color w:val="231F20"/>
          <w:spacing w:val="4"/>
          <w:sz w:val="14"/>
        </w:rPr>
        <w:t>r</w:t>
      </w:r>
      <w:r>
        <w:rPr>
          <w:rFonts w:ascii="Theinhardt Bold"/>
          <w:b/>
          <w:color w:val="231F20"/>
          <w:sz w:val="14"/>
        </w:rPr>
        <w:t>f</w:t>
      </w:r>
      <w:r>
        <w:rPr>
          <w:rFonts w:ascii="Theinhardt Bold"/>
          <w:sz w:val="14"/>
        </w:rPr>
      </w:r>
    </w:p>
    <w:tbl>
      <w:tblPr>
        <w:tblW w:w="0" w:type="auto"/>
        <w:jc w:val="left"/>
        <w:tblInd w:w="6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9"/>
        <w:gridCol w:w="753"/>
        <w:gridCol w:w="471"/>
        <w:gridCol w:w="618"/>
      </w:tblGrid>
      <w:tr>
        <w:trPr>
          <w:trHeight w:val="300" w:hRule="exact"/>
        </w:trPr>
        <w:tc>
          <w:tcPr>
            <w:tcW w:w="13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2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8"/>
                <w:szCs w:val="8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EBF:</w:t>
            </w:r>
            <w:r>
              <w:rPr>
                <w:rFonts w:ascii="Theinhardt Regular"/>
                <w:color w:val="231F20"/>
                <w:sz w:val="14"/>
              </w:rPr>
              <w:t> 633 </w:t>
            </w:r>
            <w:r>
              <w:rPr>
                <w:rFonts w:ascii="Theinhardt Regular"/>
                <w:color w:val="231F20"/>
                <w:spacing w:val="-1"/>
                <w:sz w:val="14"/>
              </w:rPr>
              <w:t>m</w:t>
            </w:r>
            <w:r>
              <w:rPr>
                <w:rFonts w:ascii="Theinhardt Regular"/>
                <w:color w:val="231F20"/>
                <w:spacing w:val="-1"/>
                <w:position w:val="5"/>
                <w:sz w:val="8"/>
              </w:rPr>
              <w:t>2</w:t>
            </w:r>
            <w:r>
              <w:rPr>
                <w:rFonts w:ascii="Theinhardt Regular"/>
                <w:sz w:val="8"/>
              </w:rPr>
            </w:r>
          </w:p>
          <w:p>
            <w:pPr>
              <w:pStyle w:val="TableParagraph"/>
              <w:spacing w:line="168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2"/>
                <w:sz w:val="14"/>
              </w:rPr>
              <w:t>Elektrizität</w:t>
            </w:r>
            <w:r>
              <w:rPr>
                <w:rFonts w:ascii="Theinhardt Regular" w:hAnsi="Theinhardt Regular"/>
                <w:color w:val="231F20"/>
                <w:sz w:val="14"/>
              </w:rPr>
              <w:t> </w:t>
            </w:r>
            <w:r>
              <w:rPr>
                <w:rFonts w:ascii="Theinhardt Regular" w:hAnsi="Theinhardt Regular"/>
                <w:color w:val="231F20"/>
                <w:spacing w:val="1"/>
                <w:sz w:val="14"/>
              </w:rPr>
              <w:t>WP: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2" w:lineRule="exact"/>
              <w:ind w:left="79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kWh/m</w:t>
            </w:r>
            <w:r>
              <w:rPr>
                <w:rFonts w:ascii="Theinhardt Regular"/>
                <w:color w:val="231F20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z w:val="14"/>
              </w:rPr>
              <w:t>a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168" w:lineRule="exact"/>
              <w:ind w:left="481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25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2" w:lineRule="exact"/>
              <w:ind w:left="187" w:right="0" w:firstLine="38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168" w:lineRule="exact"/>
              <w:ind w:left="18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20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2" w:lineRule="exact"/>
              <w:ind w:left="117" w:right="0" w:firstLine="42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kWh/a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168" w:lineRule="exact"/>
              <w:ind w:left="11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2"/>
                <w:sz w:val="14"/>
                <w:szCs w:val="14"/>
              </w:rPr>
              <w:t>15’996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60" w:hRule="exact"/>
        </w:trPr>
        <w:tc>
          <w:tcPr>
            <w:tcW w:w="13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2"/>
                <w:sz w:val="14"/>
              </w:rPr>
              <w:t>Elektrizität: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401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2"/>
                <w:sz w:val="14"/>
              </w:rPr>
              <w:t>103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8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2"/>
                <w:sz w:val="14"/>
              </w:rPr>
              <w:t>8</w:t>
            </w:r>
            <w:r>
              <w:rPr>
                <w:rFonts w:ascii="Theinhardt Regular"/>
                <w:color w:val="231F20"/>
                <w:sz w:val="14"/>
              </w:rPr>
              <w:t>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3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5"/>
                <w:sz w:val="14"/>
                <w:szCs w:val="14"/>
              </w:rPr>
              <w:t>65’119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90" w:hRule="exact"/>
        </w:trPr>
        <w:tc>
          <w:tcPr>
            <w:tcW w:w="13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2"/>
                <w:sz w:val="14"/>
              </w:rPr>
              <w:t>Gesamt-EB: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40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3"/>
                <w:sz w:val="14"/>
              </w:rPr>
              <w:t>128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10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100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12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pacing w:val="-4"/>
                <w:sz w:val="14"/>
                <w:szCs w:val="14"/>
              </w:rPr>
              <w:t>81’115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  <w:tr>
        <w:trPr>
          <w:trHeight w:val="437" w:hRule="exact"/>
        </w:trPr>
        <w:tc>
          <w:tcPr>
            <w:tcW w:w="13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14"/>
              <w:ind w:left="55" w:right="31"/>
              <w:jc w:val="both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pacing w:val="1"/>
                <w:sz w:val="14"/>
                <w:szCs w:val="14"/>
              </w:rPr>
              <w:t>Energieversorgung</w:t>
            </w: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pacing w:val="24"/>
                <w:sz w:val="14"/>
                <w:szCs w:val="14"/>
              </w:rPr>
              <w:t> 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1"/>
                <w:sz w:val="14"/>
                <w:szCs w:val="14"/>
              </w:rPr>
              <w:t>Eigen-EV: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33"/>
                <w:sz w:val="14"/>
                <w:szCs w:val="14"/>
              </w:rPr>
              <w:t> 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-1"/>
                <w:sz w:val="14"/>
                <w:szCs w:val="14"/>
              </w:rPr>
              <w:t>m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-1"/>
                <w:position w:val="5"/>
                <w:sz w:val="8"/>
                <w:szCs w:val="8"/>
              </w:rPr>
              <w:t>2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21"/>
                <w:position w:val="5"/>
                <w:sz w:val="8"/>
                <w:szCs w:val="8"/>
              </w:rPr>
              <w:t> 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kWp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30"/>
                <w:sz w:val="14"/>
                <w:szCs w:val="14"/>
              </w:rPr>
              <w:t> 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2"/>
                <w:sz w:val="14"/>
                <w:szCs w:val="14"/>
              </w:rPr>
              <w:t>PV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 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1"/>
                <w:sz w:val="14"/>
                <w:szCs w:val="14"/>
              </w:rPr>
              <w:t>Dach: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 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-5"/>
                <w:sz w:val="14"/>
                <w:szCs w:val="14"/>
              </w:rPr>
              <w:t>1’011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 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34"/>
                <w:sz w:val="14"/>
                <w:szCs w:val="14"/>
              </w:rPr>
              <w:t> 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-2"/>
                <w:sz w:val="14"/>
                <w:szCs w:val="14"/>
              </w:rPr>
              <w:t>180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heinhardt Bold" w:hAnsi="Theinhardt Bold" w:cs="Theinhardt Bold" w:eastAsia="Theinhardt Bold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172" w:lineRule="exact"/>
              <w:ind w:left="79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kWh/m</w:t>
            </w:r>
            <w:r>
              <w:rPr>
                <w:rFonts w:ascii="Theinhardt Regular"/>
                <w:color w:val="231F20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z w:val="14"/>
              </w:rPr>
              <w:t>a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98" w:lineRule="exact"/>
              <w:ind w:left="28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2"/>
                <w:sz w:val="14"/>
              </w:rPr>
              <w:t>178.5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heinhardt Bold" w:hAnsi="Theinhardt Bold" w:cs="Theinhardt Bold" w:eastAsia="Theinhardt Bold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160" w:lineRule="exact"/>
              <w:ind w:left="87" w:right="115" w:firstLine="138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 </w:t>
            </w:r>
            <w:r>
              <w:rPr>
                <w:rFonts w:ascii="Theinhardt Regular"/>
                <w:color w:val="231F20"/>
                <w:spacing w:val="-1"/>
                <w:sz w:val="14"/>
              </w:rPr>
              <w:t>222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heinhardt Bold" w:hAnsi="Theinhardt Bold" w:cs="Theinhardt Bold" w:eastAsia="Theinhardt Bold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172" w:lineRule="exact"/>
              <w:ind w:left="104" w:right="0"/>
              <w:jc w:val="center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kWh/a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98" w:lineRule="exact"/>
              <w:ind w:right="29"/>
              <w:jc w:val="center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pacing w:val="-1"/>
                <w:sz w:val="14"/>
                <w:szCs w:val="14"/>
              </w:rPr>
              <w:t>180’430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</w:tbl>
    <w:p>
      <w:pPr>
        <w:tabs>
          <w:tab w:pos="2408" w:val="left" w:leader="none"/>
          <w:tab w:pos="2834" w:val="left" w:leader="none"/>
        </w:tabs>
        <w:spacing w:line="172" w:lineRule="exact" w:before="121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Energiebilanz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(Endenergie)</w:t>
        <w:tab/>
      </w:r>
      <w:r>
        <w:rPr>
          <w:rFonts w:ascii="Theinhardt Regular"/>
          <w:color w:val="231F20"/>
          <w:sz w:val="14"/>
        </w:rPr>
        <w:t>%</w:t>
        <w:tab/>
      </w:r>
      <w:r>
        <w:rPr>
          <w:rFonts w:ascii="Theinhardt Regular"/>
          <w:color w:val="231F20"/>
          <w:spacing w:val="-1"/>
          <w:sz w:val="14"/>
        </w:rPr>
        <w:t>kWh/a</w:t>
      </w:r>
      <w:r>
        <w:rPr>
          <w:rFonts w:ascii="Theinhardt Regular"/>
          <w:sz w:val="14"/>
        </w:rPr>
      </w:r>
    </w:p>
    <w:p>
      <w:pPr>
        <w:tabs>
          <w:tab w:pos="2303" w:val="left" w:leader="none"/>
        </w:tabs>
        <w:spacing w:line="160" w:lineRule="exact" w:before="0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Eigenenergieversorgung:</w:t>
        <w:tab/>
        <w:t>222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  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180’430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309" w:val="left" w:leader="none"/>
          <w:tab w:pos="2818" w:val="left" w:leader="none"/>
        </w:tabs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Gesamtenergiebedarf: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w w:val="95"/>
          <w:sz w:val="14"/>
          <w:szCs w:val="14"/>
        </w:rPr>
        <w:t>100</w:t>
        <w:tab/>
      </w:r>
      <w:r>
        <w:rPr>
          <w:rFonts w:ascii="Theinhardt Regular" w:hAnsi="Theinhardt Regular" w:cs="Theinhardt Regular" w:eastAsia="Theinhardt Regular"/>
          <w:color w:val="231F20"/>
          <w:spacing w:val="-6"/>
          <w:sz w:val="14"/>
          <w:szCs w:val="14"/>
        </w:rPr>
        <w:t>81’115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310" w:val="left" w:leader="none"/>
          <w:tab w:pos="2781" w:val="left" w:leader="none"/>
        </w:tabs>
        <w:spacing w:line="172" w:lineRule="exact" w:before="0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Solarstromüberschuss: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w w:val="95"/>
          <w:sz w:val="14"/>
          <w:szCs w:val="14"/>
        </w:rPr>
        <w:t>122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99’315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60" w:lineRule="exact" w:before="39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Bestätigt von </w:t>
      </w:r>
      <w:r>
        <w:rPr>
          <w:rFonts w:ascii="Theinhardt Bold" w:hAnsi="Theinhardt Bold"/>
          <w:b/>
          <w:color w:val="231F20"/>
          <w:spacing w:val="3"/>
          <w:sz w:val="14"/>
        </w:rPr>
        <w:t>BKW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Energie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AG/smart-me</w:t>
      </w:r>
      <w:r>
        <w:rPr>
          <w:rFonts w:ascii="Theinhardt Bold" w:hAnsi="Theinhardt Bold"/>
          <w:b/>
          <w:color w:val="231F20"/>
          <w:sz w:val="14"/>
        </w:rPr>
        <w:t> AG </w:t>
      </w:r>
      <w:r>
        <w:rPr>
          <w:rFonts w:ascii="Theinhardt Regular" w:hAnsi="Theinhardt Regular"/>
          <w:color w:val="231F20"/>
          <w:sz w:val="14"/>
        </w:rPr>
        <w:t>am</w:t>
      </w:r>
      <w:r>
        <w:rPr>
          <w:rFonts w:ascii="Theinhardt Regular" w:hAnsi="Theinhardt Regular"/>
          <w:color w:val="231F20"/>
          <w:spacing w:val="28"/>
          <w:sz w:val="14"/>
        </w:rPr>
        <w:t> </w:t>
      </w:r>
      <w:r>
        <w:rPr>
          <w:rFonts w:ascii="Theinhardt Regular" w:hAnsi="Theinhardt Regular"/>
          <w:color w:val="231F20"/>
          <w:spacing w:val="-3"/>
          <w:sz w:val="14"/>
        </w:rPr>
        <w:t>12./13.07.18,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T.</w:t>
      </w:r>
      <w:r>
        <w:rPr>
          <w:rFonts w:ascii="Theinhardt Regular" w:hAnsi="Theinhardt Regular"/>
          <w:color w:val="231F20"/>
          <w:sz w:val="14"/>
        </w:rPr>
        <w:t> Dolder, </w:t>
      </w: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058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477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24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71/</w:t>
      </w:r>
      <w:r>
        <w:rPr>
          <w:rFonts w:ascii="Theinhardt Regular" w:hAnsi="Theinhardt Regular"/>
          <w:sz w:val="14"/>
        </w:rPr>
      </w:r>
    </w:p>
    <w:p>
      <w:pPr>
        <w:spacing w:line="177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S.</w:t>
      </w:r>
      <w:r>
        <w:rPr>
          <w:rFonts w:ascii="Theinhardt Regular"/>
          <w:color w:val="231F20"/>
          <w:sz w:val="14"/>
        </w:rPr>
        <w:t> Fischer,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041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8"/>
          <w:sz w:val="14"/>
        </w:rPr>
        <w:t>511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09</w:t>
      </w:r>
      <w:r>
        <w:rPr>
          <w:rFonts w:ascii="Theinhardt Regular"/>
          <w:color w:val="231F20"/>
          <w:sz w:val="14"/>
        </w:rPr>
        <w:t> 99</w:t>
      </w:r>
      <w:r>
        <w:rPr>
          <w:rFonts w:ascii="Theinhardt Regular"/>
          <w:sz w:val="14"/>
        </w:rPr>
      </w:r>
    </w:p>
    <w:p>
      <w:pPr>
        <w:spacing w:line="207" w:lineRule="auto" w:before="5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71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Elektrofahrzeuge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können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mit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dem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Solarstrom-</w:t>
      </w:r>
      <w:r>
        <w:rPr>
          <w:rFonts w:ascii="Theinhardt Regular" w:hAnsi="Theinhardt Regular" w:cs="Theinhardt Regular" w:eastAsia="Theinhardt Regular"/>
          <w:color w:val="231F20"/>
          <w:spacing w:val="24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überschuss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jährlich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je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12’000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km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CO</w:t>
      </w:r>
      <w:r>
        <w:rPr>
          <w:rFonts w:ascii="Theinhardt Regular" w:hAnsi="Theinhardt Regular" w:cs="Theinhardt Regular" w:eastAsia="Theinhardt Regular"/>
          <w:color w:val="231F20"/>
          <w:position w:val="-4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-frei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fahren.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spacing w:before="116"/>
        <w:ind w:left="117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pacing w:val="1"/>
          <w:sz w:val="14"/>
        </w:rPr>
        <w:t>Beteiligte</w:t>
      </w:r>
      <w:r>
        <w:rPr>
          <w:rFonts w:ascii="Theinhardt Black"/>
          <w:b/>
          <w:color w:val="231F20"/>
          <w:sz w:val="14"/>
        </w:rPr>
        <w:t> Personen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17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60" w:lineRule="exact" w:before="74"/>
        <w:ind w:left="117" w:right="816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Bauherrschaft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und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2"/>
          <w:sz w:val="14"/>
        </w:rPr>
        <w:t>Standort</w:t>
      </w:r>
      <w:r>
        <w:rPr>
          <w:rFonts w:ascii="Theinhardt Bold"/>
          <w:b/>
          <w:color w:val="231F20"/>
          <w:spacing w:val="26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Einwohnergemeinde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Zweisimmen</w:t>
      </w:r>
      <w:r>
        <w:rPr>
          <w:rFonts w:ascii="Theinhardt Regular"/>
          <w:color w:val="231F20"/>
          <w:spacing w:val="26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Lenkstrasse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21b</w:t>
      </w:r>
      <w:r>
        <w:rPr>
          <w:rFonts w:ascii="Theinhardt Regular"/>
          <w:color w:val="231F20"/>
          <w:sz w:val="14"/>
        </w:rPr>
        <w:t> + </w:t>
      </w:r>
      <w:r>
        <w:rPr>
          <w:rFonts w:ascii="Theinhardt Regular"/>
          <w:color w:val="231F20"/>
          <w:spacing w:val="-3"/>
          <w:sz w:val="14"/>
        </w:rPr>
        <w:t>21c,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3770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Zweisimmen</w:t>
      </w:r>
      <w:r>
        <w:rPr>
          <w:rFonts w:ascii="Theinhardt Regular"/>
          <w:color w:val="231F20"/>
          <w:spacing w:val="34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033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729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88</w:t>
      </w:r>
      <w:r>
        <w:rPr>
          <w:rFonts w:ascii="Theinhardt Regular"/>
          <w:color w:val="231F20"/>
          <w:sz w:val="14"/>
        </w:rPr>
        <w:t> 60</w:t>
      </w:r>
      <w:hyperlink r:id="rId6">
        <w:r>
          <w:rPr>
            <w:rFonts w:ascii="Theinhardt Regular"/>
            <w:color w:val="231F20"/>
            <w:sz w:val="14"/>
          </w:rPr>
          <w:t>, </w:t>
        </w:r>
        <w:r>
          <w:rPr>
            <w:rFonts w:ascii="Theinhardt Regular"/>
            <w:color w:val="231F20"/>
            <w:spacing w:val="2"/>
            <w:sz w:val="14"/>
          </w:rPr>
          <w:t>www.</w:t>
        </w:r>
      </w:hyperlink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Zweisimmen.ch</w:t>
      </w:r>
      <w:r>
        <w:rPr>
          <w:rFonts w:ascii="Theinhardt Regular"/>
          <w:sz w:val="14"/>
        </w:rPr>
      </w:r>
    </w:p>
    <w:p>
      <w:pPr>
        <w:spacing w:line="172" w:lineRule="exact" w:before="49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Photovoltaikanlage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Verein </w:t>
      </w:r>
      <w:r>
        <w:rPr>
          <w:rFonts w:ascii="Theinhardt Regular"/>
          <w:color w:val="231F20"/>
          <w:spacing w:val="1"/>
          <w:sz w:val="14"/>
        </w:rPr>
        <w:t>Oberriedsonne</w:t>
      </w:r>
      <w:r>
        <w:rPr>
          <w:rFonts w:ascii="Theinhardt Regular"/>
          <w:sz w:val="14"/>
        </w:rPr>
      </w:r>
    </w:p>
    <w:p>
      <w:pPr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Mike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Schletti,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Oberriedstr.</w:t>
      </w:r>
      <w:r>
        <w:rPr>
          <w:rFonts w:ascii="Theinhardt Regular"/>
          <w:color w:val="231F20"/>
          <w:sz w:val="14"/>
        </w:rPr>
        <w:t> 6, </w:t>
      </w:r>
      <w:r>
        <w:rPr>
          <w:rFonts w:ascii="Theinhardt Regular"/>
          <w:color w:val="231F20"/>
          <w:spacing w:val="-1"/>
          <w:sz w:val="14"/>
        </w:rPr>
        <w:t>3770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Zweisimmen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079</w:t>
      </w:r>
      <w:r>
        <w:rPr>
          <w:rFonts w:ascii="Theinhardt Regular"/>
          <w:color w:val="231F20"/>
          <w:sz w:val="14"/>
        </w:rPr>
        <w:t> 360 </w:t>
      </w:r>
      <w:r>
        <w:rPr>
          <w:rFonts w:ascii="Theinhardt Regular"/>
          <w:color w:val="231F20"/>
          <w:spacing w:val="-1"/>
          <w:sz w:val="14"/>
        </w:rPr>
        <w:t>32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32</w:t>
      </w:r>
      <w:r>
        <w:rPr>
          <w:rFonts w:ascii="Theinhardt Regular"/>
          <w:sz w:val="14"/>
        </w:rPr>
      </w:r>
    </w:p>
    <w:p>
      <w:pPr>
        <w:spacing w:line="160" w:lineRule="exact" w:before="39"/>
        <w:ind w:left="117" w:right="1437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Installation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Photovoltaik</w:t>
      </w:r>
      <w:r>
        <w:rPr>
          <w:rFonts w:ascii="Theinhardt Bold"/>
          <w:b/>
          <w:color w:val="231F20"/>
          <w:spacing w:val="38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solarUp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Energie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GmbH</w:t>
      </w:r>
      <w:r>
        <w:rPr>
          <w:rFonts w:ascii="Theinhardt Regular"/>
          <w:color w:val="231F20"/>
          <w:spacing w:val="3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Cheseryplatz</w:t>
      </w:r>
      <w:r>
        <w:rPr>
          <w:rFonts w:ascii="Theinhardt Regular"/>
          <w:color w:val="231F20"/>
          <w:sz w:val="14"/>
        </w:rPr>
        <w:t> 3, </w:t>
      </w:r>
      <w:r>
        <w:rPr>
          <w:rFonts w:ascii="Theinhardt Regular"/>
          <w:color w:val="231F20"/>
          <w:spacing w:val="-1"/>
          <w:sz w:val="14"/>
        </w:rPr>
        <w:t>3780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Gstaad</w:t>
      </w:r>
      <w:r>
        <w:rPr>
          <w:rFonts w:ascii="Theinhardt Regular"/>
          <w:sz w:val="14"/>
        </w:rPr>
      </w:r>
    </w:p>
    <w:p>
      <w:pPr>
        <w:spacing w:line="177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033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748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10</w:t>
      </w:r>
      <w:r>
        <w:rPr>
          <w:rFonts w:ascii="Theinhardt Regular"/>
          <w:color w:val="231F20"/>
          <w:sz w:val="14"/>
        </w:rPr>
        <w:t> 30</w:t>
      </w:r>
      <w:hyperlink r:id="rId7">
        <w:r>
          <w:rPr>
            <w:rFonts w:ascii="Theinhardt Regular"/>
            <w:color w:val="231F20"/>
            <w:sz w:val="14"/>
          </w:rPr>
          <w:t>, </w:t>
        </w:r>
        <w:r>
          <w:rPr>
            <w:rFonts w:ascii="Theinhardt Regular"/>
            <w:color w:val="231F20"/>
            <w:spacing w:val="1"/>
            <w:sz w:val="14"/>
          </w:rPr>
          <w:t>www.solarup.ch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5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Architekt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Tom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Moser</w:t>
      </w:r>
      <w:r>
        <w:rPr>
          <w:rFonts w:ascii="Theinhardt Regular"/>
          <w:sz w:val="14"/>
        </w:rPr>
      </w:r>
    </w:p>
    <w:p>
      <w:pPr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Bahnhofstrasse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3"/>
          <w:sz w:val="14"/>
        </w:rPr>
        <w:t>15,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3778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Schönried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033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744</w:t>
      </w:r>
      <w:r>
        <w:rPr>
          <w:rFonts w:ascii="Theinhardt Regular"/>
          <w:color w:val="231F20"/>
          <w:sz w:val="14"/>
        </w:rPr>
        <w:t> 63 </w:t>
      </w:r>
      <w:r>
        <w:rPr>
          <w:rFonts w:ascii="Theinhardt Regular"/>
          <w:color w:val="231F20"/>
          <w:spacing w:val="-3"/>
          <w:sz w:val="14"/>
        </w:rPr>
        <w:t>1</w:t>
      </w:r>
      <w:hyperlink r:id="rId8">
        <w:r>
          <w:rPr>
            <w:rFonts w:ascii="Theinhardt Regular"/>
            <w:color w:val="231F20"/>
            <w:spacing w:val="-3"/>
            <w:sz w:val="14"/>
          </w:rPr>
          <w:t>6,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info@germann-architektur.ch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Elektroplanung</w:t>
      </w:r>
      <w:r>
        <w:rPr>
          <w:rFonts w:ascii="Theinhardt Bold"/>
          <w:sz w:val="14"/>
        </w:rPr>
      </w:r>
    </w:p>
    <w:p>
      <w:pPr>
        <w:spacing w:line="207" w:lineRule="auto" w:before="5"/>
        <w:ind w:left="117" w:right="63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ogiplan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elektroplanung</w:t>
      </w:r>
      <w:r>
        <w:rPr>
          <w:rFonts w:ascii="Theinhardt Regular"/>
          <w:color w:val="231F20"/>
          <w:sz w:val="14"/>
        </w:rPr>
        <w:t> + </w:t>
      </w:r>
      <w:r>
        <w:rPr>
          <w:rFonts w:ascii="Theinhardt Regular"/>
          <w:color w:val="231F20"/>
          <w:spacing w:val="1"/>
          <w:sz w:val="14"/>
        </w:rPr>
        <w:t>lichtdesign</w:t>
      </w:r>
      <w:r>
        <w:rPr>
          <w:rFonts w:ascii="Theinhardt Regular"/>
          <w:color w:val="231F20"/>
          <w:spacing w:val="28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Christoph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Ogi</w:t>
      </w:r>
      <w:r>
        <w:rPr>
          <w:rFonts w:ascii="Theinhardt Regular"/>
          <w:sz w:val="14"/>
        </w:rPr>
      </w:r>
    </w:p>
    <w:p>
      <w:pPr>
        <w:spacing w:line="154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Cheseryplatz</w:t>
      </w:r>
      <w:r>
        <w:rPr>
          <w:rFonts w:ascii="Theinhardt Regular"/>
          <w:color w:val="231F20"/>
          <w:sz w:val="14"/>
        </w:rPr>
        <w:t> 3, </w:t>
      </w:r>
      <w:r>
        <w:rPr>
          <w:rFonts w:ascii="Theinhardt Regular"/>
          <w:color w:val="231F20"/>
          <w:spacing w:val="-1"/>
          <w:sz w:val="14"/>
        </w:rPr>
        <w:t>3780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Gstaad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033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748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10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31</w:t>
      </w:r>
      <w:hyperlink r:id="rId9">
        <w:r>
          <w:rPr>
            <w:rFonts w:ascii="Theinhardt Regular"/>
            <w:color w:val="231F20"/>
            <w:spacing w:val="-4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info@ogiplan.ch</w:t>
        </w:r>
        <w:r>
          <w:rPr>
            <w:rFonts w:ascii="Theinhardt Regular"/>
            <w:sz w:val="14"/>
          </w:rPr>
        </w:r>
      </w:hyperlink>
    </w:p>
    <w:p>
      <w:pPr>
        <w:spacing w:after="0" w:line="172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2250" w:h="17180"/>
          <w:pgMar w:top="1000" w:bottom="280" w:left="620" w:right="900"/>
          <w:cols w:num="3" w:equalWidth="0">
            <w:col w:w="3473" w:space="98"/>
            <w:col w:w="3468" w:space="104"/>
            <w:col w:w="3587"/>
          </w:cols>
        </w:sectPr>
      </w:pPr>
    </w:p>
    <w:p>
      <w:pPr>
        <w:spacing w:line="240" w:lineRule="auto" w:before="10"/>
        <w:rPr>
          <w:rFonts w:ascii="Theinhardt Regular" w:hAnsi="Theinhardt Regular" w:cs="Theinhardt Regular" w:eastAsia="Theinhardt Regular"/>
          <w:sz w:val="2"/>
          <w:szCs w:val="2"/>
        </w:rPr>
      </w:pPr>
    </w:p>
    <w:p>
      <w:pPr>
        <w:spacing w:line="20" w:lineRule="atLeast"/>
        <w:ind w:left="7260" w:right="0" w:firstLine="0"/>
        <w:rPr>
          <w:rFonts w:ascii="Theinhardt Regular" w:hAnsi="Theinhardt Regular" w:cs="Theinhardt Regular" w:eastAsia="Theinhardt Regular"/>
          <w:sz w:val="2"/>
          <w:szCs w:val="2"/>
        </w:rPr>
      </w:pPr>
      <w:r>
        <w:rPr>
          <w:rFonts w:ascii="Theinhardt Regular" w:hAnsi="Theinhardt Regular" w:cs="Theinhardt Regular" w:eastAsia="Theinhardt Regular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Regular" w:hAnsi="Theinhardt Regular" w:cs="Theinhardt Regular" w:eastAsia="Theinhardt Regular"/>
          <w:sz w:val="2"/>
          <w:szCs w:val="2"/>
        </w:rPr>
      </w: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12"/>
        <w:rPr>
          <w:rFonts w:ascii="Theinhardt Regular" w:hAnsi="Theinhardt Regular" w:cs="Theinhardt Regular" w:eastAsia="Theinhardt Regular"/>
          <w:sz w:val="17"/>
          <w:szCs w:val="17"/>
        </w:rPr>
      </w:pPr>
    </w:p>
    <w:p>
      <w:pPr>
        <w:spacing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38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2018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2018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2250" w:h="17180"/>
          <w:pgMar w:top="1000" w:bottom="280" w:left="620" w:right="900"/>
        </w:sectPr>
      </w:pPr>
    </w:p>
    <w:p>
      <w:pPr>
        <w:spacing w:line="240" w:lineRule="auto" w:before="9"/>
        <w:rPr>
          <w:rFonts w:ascii="Theinhardt Regular" w:hAnsi="Theinhardt Regular" w:cs="Theinhardt Regular" w:eastAsia="Theinhardt Regular"/>
          <w:sz w:val="5"/>
          <w:szCs w:val="5"/>
        </w:rPr>
      </w:pPr>
    </w:p>
    <w:p>
      <w:pPr>
        <w:spacing w:line="200" w:lineRule="atLeast"/>
        <w:ind w:left="100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633423" cy="2985039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3423" cy="298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before="56"/>
        <w:ind w:left="113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spacing w:line="200" w:lineRule="atLeast"/>
        <w:ind w:left="100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 w:hAnsi="Theinhardt Bold" w:cs="Theinhardt Bold" w:eastAsia="Theinhardt Bold"/>
          <w:sz w:val="20"/>
          <w:szCs w:val="20"/>
        </w:rPr>
        <w:drawing>
          <wp:inline distT="0" distB="0" distL="0" distR="0">
            <wp:extent cx="6621399" cy="2610230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1399" cy="26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 w:hAnsi="Theinhardt Bold" w:cs="Theinhardt Bold" w:eastAsia="Theinhardt Bold"/>
          <w:sz w:val="20"/>
          <w:szCs w:val="20"/>
        </w:rPr>
      </w:r>
    </w:p>
    <w:p>
      <w:pPr>
        <w:spacing w:before="7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</w:r>
      <w:r>
        <w:rPr>
          <w:rFonts w:ascii="Theinhardt Bold"/>
          <w:sz w:val="14"/>
        </w:rPr>
      </w:r>
    </w:p>
    <w:p>
      <w:pPr>
        <w:tabs>
          <w:tab w:pos="5316" w:val="left" w:leader="none"/>
        </w:tabs>
        <w:spacing w:line="200" w:lineRule="atLeast"/>
        <w:ind w:left="112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/>
          <w:sz w:val="20"/>
        </w:rPr>
        <w:drawing>
          <wp:inline distT="0" distB="0" distL="0" distR="0">
            <wp:extent cx="3156800" cy="2051304"/>
            <wp:effectExtent l="0" t="0" r="0" b="0"/>
            <wp:docPr id="5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800" cy="205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  <w:r>
        <w:rPr>
          <w:rFonts w:ascii="Theinhardt Bold"/>
          <w:sz w:val="20"/>
        </w:rPr>
        <w:tab/>
      </w:r>
      <w:r>
        <w:rPr>
          <w:rFonts w:ascii="Theinhardt Bold"/>
          <w:sz w:val="20"/>
        </w:rPr>
        <w:drawing>
          <wp:inline distT="0" distB="0" distL="0" distR="0">
            <wp:extent cx="3341332" cy="2045208"/>
            <wp:effectExtent l="0" t="0" r="0" b="0"/>
            <wp:docPr id="7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332" cy="204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</w:p>
    <w:p>
      <w:pPr>
        <w:tabs>
          <w:tab w:pos="5301" w:val="left" w:leader="none"/>
        </w:tabs>
        <w:spacing w:before="29"/>
        <w:ind w:left="113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3</w:t>
        <w:tab/>
        <w:t>4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"/>
        <w:rPr>
          <w:rFonts w:ascii="Theinhardt Bold" w:hAnsi="Theinhardt Bold" w:cs="Theinhardt Bold" w:eastAsia="Theinhardt Bold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23"/>
          <w:szCs w:val="23"/>
        </w:rPr>
        <w:sectPr>
          <w:pgSz w:w="12250" w:h="17180"/>
          <w:pgMar w:top="1020" w:bottom="280" w:left="920" w:right="620"/>
        </w:sectPr>
      </w:pPr>
    </w:p>
    <w:p>
      <w:pPr>
        <w:numPr>
          <w:ilvl w:val="0"/>
          <w:numId w:val="1"/>
        </w:numPr>
        <w:tabs>
          <w:tab w:pos="328" w:val="left" w:leader="none"/>
        </w:tabs>
        <w:spacing w:line="160" w:lineRule="exact" w:before="76"/>
        <w:ind w:left="327" w:right="94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Die elegante und </w:t>
      </w:r>
      <w:r>
        <w:rPr>
          <w:rFonts w:ascii="Theinhardt Bold" w:hAnsi="Theinhardt Bold"/>
          <w:b/>
          <w:color w:val="231F20"/>
          <w:spacing w:val="-1"/>
          <w:sz w:val="14"/>
        </w:rPr>
        <w:t>schlicht</w:t>
      </w:r>
      <w:r>
        <w:rPr>
          <w:rFonts w:ascii="Theinhardt Bold" w:hAnsi="Theinhardt Bold"/>
          <w:b/>
          <w:color w:val="231F20"/>
          <w:sz w:val="14"/>
        </w:rPr>
        <w:t> gehaltene Simmental</w:t>
      </w:r>
      <w:r>
        <w:rPr>
          <w:rFonts w:ascii="Theinhardt Bold" w:hAnsi="Theinhardt Bold"/>
          <w:b/>
          <w:color w:val="231F20"/>
          <w:spacing w:val="30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Arena fügt </w:t>
      </w:r>
      <w:r>
        <w:rPr>
          <w:rFonts w:ascii="Theinhardt Bold" w:hAnsi="Theinhardt Bold"/>
          <w:b/>
          <w:color w:val="231F20"/>
          <w:spacing w:val="-1"/>
          <w:sz w:val="14"/>
        </w:rPr>
        <w:t>sich</w:t>
      </w:r>
      <w:r>
        <w:rPr>
          <w:rFonts w:ascii="Theinhardt Bold" w:hAnsi="Theinhardt Bold"/>
          <w:b/>
          <w:color w:val="231F20"/>
          <w:sz w:val="14"/>
        </w:rPr>
        <w:t> sehr gut in </w:t>
      </w:r>
      <w:r>
        <w:rPr>
          <w:rFonts w:ascii="Theinhardt Bold" w:hAnsi="Theinhardt Bold"/>
          <w:b/>
          <w:color w:val="231F20"/>
          <w:spacing w:val="-1"/>
          <w:sz w:val="14"/>
        </w:rPr>
        <w:t>die</w:t>
      </w:r>
      <w:r>
        <w:rPr>
          <w:rFonts w:ascii="Theinhardt Bold" w:hAnsi="Theinhardt Bold"/>
          <w:b/>
          <w:color w:val="231F20"/>
          <w:sz w:val="14"/>
        </w:rPr>
        <w:t> Umgebung ein.</w:t>
      </w:r>
      <w:r>
        <w:rPr>
          <w:rFonts w:ascii="Theinhardt Bold" w:hAnsi="Theinhardt Bold"/>
          <w:sz w:val="14"/>
        </w:rPr>
      </w:r>
    </w:p>
    <w:p>
      <w:pPr>
        <w:spacing w:line="240" w:lineRule="auto" w:before="2"/>
        <w:rPr>
          <w:rFonts w:ascii="Theinhardt Bold" w:hAnsi="Theinhardt Bold" w:cs="Theinhardt Bold" w:eastAsia="Theinhardt Bold"/>
          <w:b/>
          <w:bCs/>
          <w:sz w:val="12"/>
          <w:szCs w:val="12"/>
        </w:rPr>
      </w:pPr>
    </w:p>
    <w:p>
      <w:pPr>
        <w:numPr>
          <w:ilvl w:val="0"/>
          <w:numId w:val="1"/>
        </w:numPr>
        <w:tabs>
          <w:tab w:pos="328" w:val="left" w:leader="none"/>
        </w:tabs>
        <w:spacing w:line="160" w:lineRule="exact" w:before="0"/>
        <w:ind w:left="32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-1"/>
          <w:sz w:val="14"/>
        </w:rPr>
        <w:t>Parallel</w:t>
      </w:r>
      <w:r>
        <w:rPr>
          <w:rFonts w:ascii="Theinhardt Bold" w:hAnsi="Theinhardt Bold"/>
          <w:b/>
          <w:color w:val="231F20"/>
          <w:sz w:val="14"/>
        </w:rPr>
        <w:t> zur </w:t>
      </w:r>
      <w:r>
        <w:rPr>
          <w:rFonts w:ascii="Theinhardt Bold" w:hAnsi="Theinhardt Bold"/>
          <w:b/>
          <w:color w:val="231F20"/>
          <w:spacing w:val="-1"/>
          <w:sz w:val="14"/>
        </w:rPr>
        <w:t>südlichen</w:t>
      </w:r>
      <w:r>
        <w:rPr>
          <w:rFonts w:ascii="Theinhardt Bold" w:hAnsi="Theinhardt Bold"/>
          <w:b/>
          <w:color w:val="231F20"/>
          <w:sz w:val="14"/>
        </w:rPr>
        <w:t> 180 kW </w:t>
      </w:r>
      <w:r>
        <w:rPr>
          <w:rFonts w:ascii="Theinhardt Bold" w:hAnsi="Theinhardt Bold"/>
          <w:b/>
          <w:color w:val="231F20"/>
          <w:spacing w:val="-1"/>
          <w:sz w:val="14"/>
        </w:rPr>
        <w:t>starken</w:t>
      </w:r>
      <w:r>
        <w:rPr>
          <w:rFonts w:ascii="Theinhardt Bold" w:hAnsi="Theinhardt Bold"/>
          <w:b/>
          <w:color w:val="231F20"/>
          <w:sz w:val="14"/>
        </w:rPr>
        <w:t> PV-Anlage</w:t>
      </w:r>
      <w:r>
        <w:rPr>
          <w:rFonts w:ascii="Theinhardt Bold" w:hAnsi="Theinhardt Bold"/>
          <w:b/>
          <w:color w:val="231F20"/>
          <w:spacing w:val="31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könnte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die</w:t>
      </w:r>
      <w:r>
        <w:rPr>
          <w:rFonts w:ascii="Theinhardt Bold" w:hAnsi="Theinhardt Bold"/>
          <w:b/>
          <w:color w:val="231F20"/>
          <w:sz w:val="14"/>
        </w:rPr>
        <w:t> Simmental Arena auf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nördlichen</w:t>
      </w:r>
      <w:r>
        <w:rPr>
          <w:rFonts w:ascii="Theinhardt Bold" w:hAnsi="Theinhardt Bold"/>
          <w:b/>
          <w:color w:val="231F20"/>
          <w:spacing w:val="35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Dachhälfte zusätzlich noch gut 320 kW mit</w:t>
      </w:r>
      <w:r>
        <w:rPr>
          <w:rFonts w:ascii="Theinhardt Bold" w:hAnsi="Theinhardt Bold"/>
          <w:sz w:val="14"/>
        </w:rPr>
      </w:r>
    </w:p>
    <w:p>
      <w:pPr>
        <w:spacing w:line="172" w:lineRule="exact" w:before="68"/>
        <w:ind w:left="32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einem Jahresertrag von 324’400 kWh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(total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72" w:lineRule="exact" w:before="0"/>
        <w:ind w:left="32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≈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505’000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kWh/a)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Strom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generieren.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240" w:lineRule="auto" w:before="11"/>
        <w:rPr>
          <w:rFonts w:ascii="Theinhardt Bold" w:hAnsi="Theinhardt Bold" w:cs="Theinhardt Bold" w:eastAsia="Theinhardt Bold"/>
          <w:b/>
          <w:bCs/>
          <w:sz w:val="10"/>
          <w:szCs w:val="10"/>
        </w:rPr>
      </w:pPr>
    </w:p>
    <w:p>
      <w:pPr>
        <w:numPr>
          <w:ilvl w:val="0"/>
          <w:numId w:val="1"/>
        </w:numPr>
        <w:tabs>
          <w:tab w:pos="328" w:val="left" w:leader="none"/>
        </w:tabs>
        <w:spacing w:line="160" w:lineRule="exact" w:before="0"/>
        <w:ind w:left="32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Die südseitige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PV-Dachanlage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ist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vorbildlich</w:t>
      </w:r>
      <w:r>
        <w:rPr>
          <w:rFonts w:ascii="Theinhardt Bold" w:hAnsi="Theinhardt Bold" w:cs="Theinhardt Bold" w:eastAsia="Theinhardt Bold"/>
          <w:b/>
          <w:bCs/>
          <w:color w:val="231F20"/>
          <w:spacing w:val="4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ganzflächig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integriert und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 erzeugt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180’400</w:t>
      </w:r>
      <w:r>
        <w:rPr>
          <w:rFonts w:ascii="Theinhardt Bold" w:hAnsi="Theinhardt Bold" w:cs="Theinhardt Bold" w:eastAsia="Theinhardt Bold"/>
          <w:b/>
          <w:bCs/>
          <w:color w:val="231F20"/>
          <w:spacing w:val="3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kWh/a.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28" w:val="left" w:leader="none"/>
        </w:tabs>
        <w:spacing w:line="207" w:lineRule="auto" w:before="86"/>
        <w:ind w:left="327" w:right="211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br w:type="column"/>
      </w:r>
      <w:r>
        <w:rPr>
          <w:rFonts w:ascii="Theinhardt Bold" w:hAnsi="Theinhardt Bold"/>
          <w:b/>
          <w:color w:val="231F20"/>
          <w:spacing w:val="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PEB</w:t>
      </w:r>
      <w:r>
        <w:rPr>
          <w:rFonts w:ascii="Theinhardt Bold" w:hAnsi="Theinhardt Bold"/>
          <w:b/>
          <w:color w:val="231F20"/>
          <w:sz w:val="14"/>
        </w:rPr>
        <w:t> wird für </w:t>
      </w:r>
      <w:r>
        <w:rPr>
          <w:rFonts w:ascii="Theinhardt Bold" w:hAnsi="Theinhardt Bold"/>
          <w:b/>
          <w:color w:val="231F20"/>
          <w:spacing w:val="-1"/>
          <w:sz w:val="14"/>
        </w:rPr>
        <w:t>verschiedene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Zwecke</w:t>
      </w:r>
      <w:r>
        <w:rPr>
          <w:rFonts w:ascii="Theinhardt Bold" w:hAnsi="Theinhardt Bold"/>
          <w:b/>
          <w:color w:val="231F20"/>
          <w:sz w:val="14"/>
        </w:rPr>
        <w:t> verwen-</w:t>
      </w:r>
      <w:r>
        <w:rPr>
          <w:rFonts w:ascii="Theinhardt Bold" w:hAnsi="Theinhardt Bold"/>
          <w:b/>
          <w:color w:val="231F20"/>
          <w:spacing w:val="36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det</w:t>
      </w:r>
      <w:r>
        <w:rPr>
          <w:rFonts w:ascii="Theinhardt Bold" w:hAnsi="Theinhardt Bold"/>
          <w:b/>
          <w:color w:val="231F20"/>
          <w:sz w:val="14"/>
        </w:rPr>
        <w:t> und </w:t>
      </w:r>
      <w:r>
        <w:rPr>
          <w:rFonts w:ascii="Theinhardt Bold" w:hAnsi="Theinhardt Bold"/>
          <w:b/>
          <w:color w:val="231F20"/>
          <w:spacing w:val="-1"/>
          <w:sz w:val="14"/>
        </w:rPr>
        <w:t>versorgt</w:t>
      </w:r>
      <w:r>
        <w:rPr>
          <w:rFonts w:ascii="Theinhardt Bold" w:hAnsi="Theinhardt Bold"/>
          <w:b/>
          <w:color w:val="231F20"/>
          <w:sz w:val="14"/>
        </w:rPr>
        <w:t> dank Netzanschluss </w:t>
      </w:r>
      <w:r>
        <w:rPr>
          <w:rFonts w:ascii="Theinhardt Bold" w:hAnsi="Theinhardt Bold"/>
          <w:b/>
          <w:color w:val="231F20"/>
          <w:spacing w:val="-1"/>
          <w:sz w:val="14"/>
        </w:rPr>
        <w:t>die</w:t>
      </w:r>
      <w:r>
        <w:rPr>
          <w:rFonts w:ascii="Theinhardt Bold" w:hAnsi="Theinhardt Bold"/>
          <w:b/>
          <w:color w:val="231F20"/>
          <w:spacing w:val="26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angrenzenden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Schulhäuser,</w:t>
      </w:r>
      <w:r>
        <w:rPr>
          <w:rFonts w:ascii="Theinhardt Bold" w:hAnsi="Theinhardt Bold"/>
          <w:b/>
          <w:color w:val="231F20"/>
          <w:spacing w:val="-12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Turnhallen</w:t>
      </w:r>
      <w:r>
        <w:rPr>
          <w:rFonts w:ascii="Theinhardt Bold" w:hAnsi="Theinhardt Bold"/>
          <w:b/>
          <w:color w:val="231F20"/>
          <w:sz w:val="14"/>
        </w:rPr>
        <w:t> und </w:t>
      </w:r>
      <w:r>
        <w:rPr>
          <w:rFonts w:ascii="Theinhardt Bold" w:hAnsi="Theinhardt Bold"/>
          <w:b/>
          <w:color w:val="231F20"/>
          <w:spacing w:val="-1"/>
          <w:sz w:val="14"/>
        </w:rPr>
        <w:t>den</w:t>
      </w:r>
      <w:r>
        <w:rPr>
          <w:rFonts w:ascii="Theinhardt Bold" w:hAnsi="Theinhardt Bold"/>
          <w:b/>
          <w:color w:val="231F20"/>
          <w:spacing w:val="25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Gemeindesaal mit </w:t>
      </w:r>
      <w:r>
        <w:rPr>
          <w:rFonts w:ascii="Theinhardt Bold" w:hAnsi="Theinhardt Bold"/>
          <w:b/>
          <w:color w:val="231F20"/>
          <w:spacing w:val="-1"/>
          <w:sz w:val="14"/>
        </w:rPr>
        <w:t>CO</w:t>
      </w:r>
      <w:r>
        <w:rPr>
          <w:rFonts w:ascii="Theinhardt Bold" w:hAnsi="Theinhardt Bold"/>
          <w:b/>
          <w:color w:val="231F20"/>
          <w:spacing w:val="-1"/>
          <w:position w:val="-4"/>
          <w:sz w:val="8"/>
        </w:rPr>
        <w:t>2</w:t>
      </w:r>
      <w:r>
        <w:rPr>
          <w:rFonts w:ascii="Theinhardt Bold" w:hAnsi="Theinhardt Bold"/>
          <w:b/>
          <w:color w:val="231F20"/>
          <w:spacing w:val="-1"/>
          <w:sz w:val="14"/>
        </w:rPr>
        <w:t>-freiem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Solarstrom.</w:t>
      </w:r>
      <w:r>
        <w:rPr>
          <w:rFonts w:ascii="Theinhardt Bold" w:hAnsi="Theinhardt Bold"/>
          <w:sz w:val="14"/>
        </w:rPr>
      </w:r>
    </w:p>
    <w:p>
      <w:pPr>
        <w:spacing w:after="0" w:line="207" w:lineRule="auto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2250" w:h="17180"/>
          <w:pgMar w:top="1000" w:bottom="280" w:left="920" w:right="620"/>
          <w:cols w:num="3" w:equalWidth="0">
            <w:col w:w="3445" w:space="127"/>
            <w:col w:w="3157" w:space="415"/>
            <w:col w:w="3566"/>
          </w:cols>
        </w:sectPr>
      </w:pPr>
    </w:p>
    <w:p>
      <w:pPr>
        <w:spacing w:line="240" w:lineRule="auto" w:before="4"/>
        <w:rPr>
          <w:rFonts w:ascii="Theinhardt Bold" w:hAnsi="Theinhardt Bold" w:cs="Theinhardt Bold" w:eastAsia="Theinhardt Bold"/>
          <w:b/>
          <w:bCs/>
          <w:sz w:val="22"/>
          <w:szCs w:val="22"/>
        </w:rPr>
      </w:pPr>
    </w:p>
    <w:p>
      <w:pPr>
        <w:spacing w:before="70"/>
        <w:ind w:left="665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2018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2018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39</w:t>
      </w:r>
      <w:r>
        <w:rPr>
          <w:rFonts w:ascii="Theinhardt Heavy"/>
          <w:sz w:val="14"/>
        </w:rPr>
      </w:r>
    </w:p>
    <w:sectPr>
      <w:type w:val="continuous"/>
      <w:pgSz w:w="12250" w:h="17180"/>
      <w:pgMar w:top="1000" w:bottom="280" w:left="92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27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38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50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62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74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85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97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09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20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7"/>
    </w:pPr>
    <w:rPr>
      <w:rFonts w:ascii="Theinhardt Regular" w:hAnsi="Theinhardt Regular" w:eastAsia="Theinhardt Regular"/>
      <w:sz w:val="18"/>
      <w:szCs w:val="18"/>
    </w:rPr>
  </w:style>
  <w:style w:styleId="Heading1" w:type="paragraph">
    <w:name w:val="Heading 1"/>
    <w:basedOn w:val="Normal"/>
    <w:uiPriority w:val="1"/>
    <w:qFormat/>
    <w:pPr>
      <w:ind w:left="117"/>
      <w:outlineLvl w:val="1"/>
    </w:pPr>
    <w:rPr>
      <w:rFonts w:ascii="Theinhardt Bold" w:hAnsi="Theinhardt Bold" w:eastAsia="Theinhardt Bold"/>
      <w:b/>
      <w:bCs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www/" TargetMode="External"/><Relationship Id="rId7" Type="http://schemas.openxmlformats.org/officeDocument/2006/relationships/hyperlink" Target="http://www.solarup.ch/" TargetMode="External"/><Relationship Id="rId8" Type="http://schemas.openxmlformats.org/officeDocument/2006/relationships/hyperlink" Target="mailto:info@germann-architektur.ch" TargetMode="External"/><Relationship Id="rId9" Type="http://schemas.openxmlformats.org/officeDocument/2006/relationships/hyperlink" Target="mailto:info@ogiplan.ch" TargetMode="Externa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2018-10-02T09:54:56Z</dcterms:created>
  <dcterms:modified xsi:type="dcterms:W3CDTF">2018-10-02T09:54:56Z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2018-10-02T00:00:00Z</vt:filetime>
  </property>
  <property fmtid="{D5CDD505-2E9C-101B-9397-08002B2CF9AE}" pid="3" name="LastSaved">
    <vt:filetime>2018-10-02T00:00:00Z</vt:filetime>
  </property>
</Properties>
</file>