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96" w:val="left" w:leader="none"/>
        </w:tabs>
        <w:spacing w:line="230" w:lineRule="exact" w:before="38"/>
        <w:ind w:left="15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4.14727pt;width:.1pt;height:.1pt;mso-position-horizontal-relative:page;mso-position-vertical-relative:paragraph;z-index:-9640" coordorigin="741,283" coordsize="2,2">
            <v:shape style="position:absolute;left:741;top:283;width:2;height:2" coordorigin="741,283" coordsize="0,0" path="m741,283l74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14727pt;width:.1pt;height:.1pt;mso-position-horizontal-relative:page;mso-position-vertical-relative:paragraph;z-index:1144" coordorigin="3185,283" coordsize="2,2">
            <v:shape style="position:absolute;left:3185;top:283;width:2;height:2" coordorigin="3185,283" coordsize="0,0" path="m3185,283l318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64727pt;width:.1pt;height:.1pt;mso-position-horizontal-relative:page;mso-position-vertical-relative:paragraph;z-index:-9592" coordorigin="741,513" coordsize="2,2">
            <v:shape style="position:absolute;left:741;top:513;width:2;height:2" coordorigin="741,513" coordsize="0,0" path="m741,513l74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64727pt;width:.1pt;height:.1pt;mso-position-horizontal-relative:page;mso-position-vertical-relative:paragraph;z-index:1192" coordorigin="3185,513" coordsize="2,2">
            <v:shape style="position:absolute;left:3185;top:513;width:2;height:2" coordorigin="3185,513" coordsize="0,0" path="m3185,513l318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2.85577pt;width:82.2043pt;height:60.2039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/>
        <w:ind w:right="11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Einfamilienhaus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-8"/>
        </w:rPr>
        <w:t> </w:t>
      </w:r>
      <w:r>
        <w:rPr>
          <w:color w:val="231F20"/>
        </w:rPr>
        <w:t>Schilling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Bottighofen/TG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wurde</w:t>
      </w:r>
      <w:r>
        <w:rPr>
          <w:color w:val="231F20"/>
          <w:spacing w:val="-8"/>
        </w:rPr>
        <w:t> </w:t>
      </w:r>
      <w:r>
        <w:rPr>
          <w:color w:val="231F20"/>
        </w:rPr>
        <w:t>1975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erstellt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konsumierte</w:t>
      </w:r>
      <w:r>
        <w:rPr>
          <w:color w:val="231F20"/>
          <w:spacing w:val="-8"/>
        </w:rPr>
        <w:t> </w:t>
      </w:r>
      <w:r>
        <w:rPr>
          <w:color w:val="231F20"/>
        </w:rPr>
        <w:t>vor</w:t>
      </w:r>
      <w:r>
        <w:rPr>
          <w:color w:val="231F20"/>
          <w:spacing w:val="8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6"/>
        </w:rPr>
        <w:t> </w:t>
      </w:r>
      <w:r>
        <w:rPr>
          <w:color w:val="231F20"/>
        </w:rPr>
        <w:t>Sanierung</w:t>
      </w:r>
      <w:r>
        <w:rPr>
          <w:color w:val="231F20"/>
          <w:spacing w:val="26"/>
        </w:rPr>
        <w:t> </w:t>
      </w:r>
      <w:r>
        <w:rPr>
          <w:color w:val="231F20"/>
        </w:rPr>
        <w:t>35’900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19"/>
        </w:rPr>
        <w:t> </w:t>
      </w:r>
      <w:r>
        <w:rPr>
          <w:color w:val="231F20"/>
        </w:rPr>
        <w:t>Nach</w:t>
      </w:r>
      <w:r>
        <w:rPr>
          <w:color w:val="231F20"/>
          <w:spacing w:val="26"/>
        </w:rPr>
        <w:t> </w:t>
      </w:r>
      <w:r>
        <w:rPr>
          <w:color w:val="231F20"/>
        </w:rPr>
        <w:t>einem</w:t>
      </w:r>
      <w:r>
        <w:rPr>
          <w:color w:val="231F20"/>
          <w:spacing w:val="26"/>
        </w:rPr>
        <w:t> </w:t>
      </w:r>
      <w:r>
        <w:rPr>
          <w:color w:val="231F20"/>
        </w:rPr>
        <w:t>Brand</w:t>
      </w:r>
      <w:r>
        <w:rPr>
          <w:color w:val="231F20"/>
          <w:spacing w:val="26"/>
        </w:rPr>
        <w:t> </w:t>
      </w:r>
      <w:r>
        <w:rPr>
          <w:color w:val="231F20"/>
        </w:rPr>
        <w:t>ersetzte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  <w:spacing w:val="26"/>
        </w:rPr>
        <w:t> </w:t>
      </w:r>
      <w:r>
        <w:rPr>
          <w:color w:val="231F20"/>
        </w:rPr>
        <w:t>Schilling</w:t>
      </w:r>
      <w:r>
        <w:rPr>
          <w:color w:val="231F20"/>
          <w:spacing w:val="26"/>
        </w:rPr>
        <w:t> </w:t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</w:rPr>
        <w:t>Dachge-</w:t>
      </w:r>
      <w:r>
        <w:rPr>
          <w:color w:val="231F20"/>
          <w:spacing w:val="52"/>
        </w:rPr>
        <w:t> </w:t>
      </w:r>
      <w:r>
        <w:rPr>
          <w:color w:val="231F20"/>
        </w:rPr>
        <w:t>schoss</w:t>
      </w:r>
      <w:r>
        <w:rPr>
          <w:color w:val="231F20"/>
          <w:spacing w:val="-6"/>
        </w:rPr>
        <w:t> </w:t>
      </w:r>
      <w:r>
        <w:rPr>
          <w:color w:val="231F20"/>
        </w:rPr>
        <w:t>ihres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EFH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-6"/>
        </w:rPr>
        <w:t> </w:t>
      </w:r>
      <w:r>
        <w:rPr>
          <w:color w:val="231F20"/>
        </w:rPr>
        <w:t>einen</w:t>
      </w:r>
      <w:r>
        <w:rPr>
          <w:color w:val="231F20"/>
          <w:spacing w:val="-6"/>
        </w:rPr>
        <w:t> </w:t>
      </w:r>
      <w:r>
        <w:rPr>
          <w:color w:val="231F20"/>
        </w:rPr>
        <w:t>Ersatzneubau.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Erdgeschoss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wurde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konsequent</w:t>
      </w:r>
      <w:r>
        <w:rPr>
          <w:color w:val="231F20"/>
          <w:spacing w:val="-6"/>
        </w:rPr>
        <w:t> </w:t>
      </w:r>
      <w:r>
        <w:rPr>
          <w:color w:val="231F20"/>
        </w:rPr>
        <w:t>gedämmt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6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südliche</w:t>
      </w:r>
      <w:r>
        <w:rPr>
          <w:color w:val="231F20"/>
          <w:spacing w:val="5"/>
        </w:rPr>
        <w:t> </w:t>
      </w:r>
      <w:r>
        <w:rPr>
          <w:color w:val="231F20"/>
        </w:rPr>
        <w:t>Dachfläche</w:t>
      </w:r>
      <w:r>
        <w:rPr>
          <w:color w:val="231F20"/>
          <w:spacing w:val="5"/>
        </w:rPr>
        <w:t> </w:t>
      </w:r>
      <w:r>
        <w:rPr>
          <w:color w:val="231F20"/>
        </w:rPr>
        <w:t>mit</w:t>
      </w:r>
      <w:r>
        <w:rPr>
          <w:color w:val="231F20"/>
          <w:spacing w:val="5"/>
        </w:rPr>
        <w:t> </w:t>
      </w:r>
      <w:r>
        <w:rPr>
          <w:color w:val="231F20"/>
        </w:rPr>
        <w:t>einer</w:t>
      </w:r>
      <w:r>
        <w:rPr>
          <w:color w:val="231F20"/>
          <w:spacing w:val="5"/>
        </w:rPr>
        <w:t> </w:t>
      </w:r>
      <w:r>
        <w:rPr>
          <w:color w:val="231F20"/>
        </w:rPr>
        <w:t>PV-Anlage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thermischen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Kollektoren</w:t>
      </w:r>
      <w:r>
        <w:rPr>
          <w:color w:val="231F20"/>
          <w:spacing w:val="5"/>
        </w:rPr>
        <w:t> </w:t>
      </w:r>
      <w:r>
        <w:rPr>
          <w:color w:val="231F20"/>
        </w:rPr>
        <w:t>ausgestattet.</w:t>
      </w:r>
      <w:r>
        <w:rPr>
          <w:color w:val="231F20"/>
          <w:spacing w:val="-2"/>
        </w:rPr>
        <w:t> </w:t>
      </w:r>
      <w:r>
        <w:rPr>
          <w:color w:val="231F20"/>
        </w:rPr>
        <w:t>Durch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Renovation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konnte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0"/>
        </w:rPr>
        <w:t> </w:t>
      </w:r>
      <w:r>
        <w:rPr>
          <w:color w:val="231F20"/>
        </w:rPr>
        <w:t>Energiebedarf</w:t>
      </w:r>
      <w:r>
        <w:rPr>
          <w:color w:val="231F20"/>
          <w:spacing w:val="10"/>
        </w:rPr>
        <w:t> </w:t>
      </w:r>
      <w:r>
        <w:rPr>
          <w:color w:val="231F20"/>
        </w:rPr>
        <w:t>um</w:t>
      </w:r>
      <w:r>
        <w:rPr>
          <w:color w:val="231F20"/>
          <w:spacing w:val="10"/>
        </w:rPr>
        <w:t> </w:t>
      </w:r>
      <w:r>
        <w:rPr>
          <w:color w:val="231F20"/>
        </w:rPr>
        <w:t>mehr</w:t>
      </w:r>
      <w:r>
        <w:rPr>
          <w:color w:val="231F20"/>
          <w:spacing w:val="10"/>
        </w:rPr>
        <w:t> </w:t>
      </w:r>
      <w:r>
        <w:rPr>
          <w:color w:val="231F20"/>
        </w:rPr>
        <w:t>als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Hälfte</w:t>
      </w:r>
      <w:r>
        <w:rPr>
          <w:color w:val="231F20"/>
          <w:spacing w:val="10"/>
        </w:rPr>
        <w:t> </w:t>
      </w:r>
      <w:r>
        <w:rPr>
          <w:color w:val="231F20"/>
        </w:rPr>
        <w:t>auf</w:t>
      </w:r>
      <w:r>
        <w:rPr>
          <w:color w:val="231F20"/>
          <w:spacing w:val="10"/>
        </w:rPr>
        <w:t> </w:t>
      </w:r>
      <w:r>
        <w:rPr>
          <w:color w:val="231F20"/>
        </w:rPr>
        <w:t>13’700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0"/>
        </w:rPr>
        <w:t> </w:t>
      </w:r>
      <w:r>
        <w:rPr>
          <w:color w:val="231F20"/>
        </w:rPr>
        <w:t>reduziert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optimal</w:t>
      </w:r>
      <w:r>
        <w:rPr>
          <w:color w:val="231F20"/>
          <w:spacing w:val="-5"/>
        </w:rPr>
        <w:t> </w:t>
      </w:r>
      <w:r>
        <w:rPr>
          <w:color w:val="231F20"/>
        </w:rPr>
        <w:t>dachintegrierte</w:t>
      </w:r>
      <w:r>
        <w:rPr>
          <w:color w:val="231F20"/>
          <w:spacing w:val="-5"/>
        </w:rPr>
        <w:t> </w:t>
      </w:r>
      <w:r>
        <w:rPr>
          <w:color w:val="231F20"/>
        </w:rPr>
        <w:t>19.8</w:t>
      </w:r>
      <w:r>
        <w:rPr>
          <w:color w:val="231F20"/>
          <w:spacing w:val="-5"/>
        </w:rPr>
        <w:t> </w:t>
      </w:r>
      <w:r>
        <w:rPr>
          <w:color w:val="231F20"/>
        </w:rPr>
        <w:t>kW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5"/>
        </w:rPr>
        <w:t> </w:t>
      </w:r>
      <w:r>
        <w:rPr>
          <w:color w:val="231F20"/>
        </w:rPr>
        <w:t>PV-Anlage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erzeugt</w:t>
      </w:r>
      <w:r>
        <w:rPr>
          <w:color w:val="231F20"/>
          <w:spacing w:val="-5"/>
        </w:rPr>
        <w:t> </w:t>
      </w:r>
      <w:r>
        <w:rPr>
          <w:color w:val="231F20"/>
        </w:rPr>
        <w:t>24’500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ther-</w:t>
      </w:r>
      <w:r>
        <w:rPr>
          <w:color w:val="231F20"/>
          <w:spacing w:val="52"/>
        </w:rPr>
        <w:t> </w:t>
      </w:r>
      <w:r>
        <w:rPr>
          <w:color w:val="231F20"/>
        </w:rPr>
        <w:t>mischen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Sonnenkollektoren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stellen</w:t>
      </w:r>
      <w:r>
        <w:rPr>
          <w:color w:val="231F20"/>
          <w:spacing w:val="3"/>
        </w:rPr>
        <w:t> </w:t>
      </w:r>
      <w:r>
        <w:rPr>
          <w:color w:val="231F20"/>
        </w:rPr>
        <w:t>zusammen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"/>
        </w:rPr>
        <w:t> </w:t>
      </w:r>
      <w:r>
        <w:rPr>
          <w:color w:val="231F20"/>
        </w:rPr>
        <w:t>benötigte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3"/>
        </w:rPr>
        <w:t> </w:t>
      </w:r>
      <w:r>
        <w:rPr>
          <w:color w:val="231F20"/>
        </w:rPr>
        <w:t>für</w:t>
      </w:r>
      <w:r>
        <w:rPr>
          <w:color w:val="231F20"/>
          <w:spacing w:val="81"/>
        </w:rPr>
        <w:t> </w:t>
      </w:r>
      <w:r>
        <w:rPr>
          <w:color w:val="231F20"/>
        </w:rPr>
        <w:t>Heizung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Brauchwasser</w:t>
      </w:r>
      <w:r>
        <w:rPr>
          <w:color w:val="231F20"/>
          <w:spacing w:val="-10"/>
        </w:rPr>
        <w:t> </w:t>
      </w:r>
      <w:r>
        <w:rPr>
          <w:color w:val="231F20"/>
        </w:rPr>
        <w:t>bereit.</w:t>
      </w:r>
      <w:r>
        <w:rPr>
          <w:color w:val="231F20"/>
          <w:spacing w:val="-17"/>
        </w:rPr>
        <w:t> </w:t>
      </w:r>
      <w:r>
        <w:rPr>
          <w:color w:val="231F20"/>
        </w:rPr>
        <w:t>Insgesamt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weist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EFH</w:t>
      </w:r>
      <w:r>
        <w:rPr>
          <w:color w:val="231F20"/>
          <w:spacing w:val="-10"/>
        </w:rPr>
        <w:t> </w:t>
      </w:r>
      <w:r>
        <w:rPr>
          <w:color w:val="231F20"/>
        </w:rPr>
        <w:t>damit</w:t>
      </w:r>
      <w:r>
        <w:rPr>
          <w:color w:val="231F20"/>
          <w:spacing w:val="-10"/>
        </w:rPr>
        <w:t> </w:t>
      </w:r>
      <w:r>
        <w:rPr>
          <w:color w:val="231F20"/>
        </w:rPr>
        <w:t>eine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79"/>
        </w:rPr>
        <w:t> </w:t>
      </w:r>
      <w:r>
        <w:rPr>
          <w:color w:val="231F20"/>
        </w:rPr>
        <w:t>von 204% </w:t>
      </w:r>
      <w:r>
        <w:rPr>
          <w:color w:val="231F20"/>
          <w:spacing w:val="-3"/>
        </w:rPr>
        <w:t>auf.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2250" w:h="17180"/>
          <w:pgMar w:top="1000" w:bottom="280" w:left="580" w:right="900"/>
          <w:cols w:num="2" w:equalWidth="0">
            <w:col w:w="2597" w:space="8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5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204%-PEB-EFH Sanierung, 8598 </w:t>
      </w:r>
      <w:r>
        <w:rPr>
          <w:rFonts w:ascii="Theinhardt Black"/>
          <w:b/>
          <w:color w:val="0067B1"/>
          <w:spacing w:val="6"/>
          <w:sz w:val="40"/>
        </w:rPr>
        <w:t>Bottighofen/TG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580" w:right="900"/>
        </w:sectPr>
      </w:pPr>
    </w:p>
    <w:p>
      <w:pPr>
        <w:spacing w:line="230" w:lineRule="exact" w:before="52"/>
        <w:ind w:left="15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Ein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durch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einen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Vollbrand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vollständig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zer-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störtes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Dachgeschoss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warf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Eigentü-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mer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Einfamilienhaus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von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1975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zahlrei-</w:t>
      </w:r>
      <w:r>
        <w:rPr>
          <w:rFonts w:ascii="Theinhardt Regular" w:hAnsi="Theinhardt Regular"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che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Fragen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auf.</w:t>
      </w:r>
      <w:r>
        <w:rPr>
          <w:rFonts w:ascii="Theinhardt Regular" w:hAnsi="Theinhardt Regular"/>
          <w:color w:val="231F20"/>
          <w:spacing w:val="4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mutige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Antwort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Bauherrschaft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geht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weit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über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Wieder-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aufbau 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hinaus: 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 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Ersatzneubau 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ersetzt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52"/>
        <w:ind w:left="15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schmückt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ganzflächig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grosse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südliche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Dachfläche.</w:t>
      </w:r>
      <w:r>
        <w:rPr>
          <w:rFonts w:ascii="Theinhardt Regular" w:hAnsi="Theinhardt Regular" w:cs="Theinhardt Regular" w:eastAsia="Theinhardt Regular"/>
          <w:color w:val="231F20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19.8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starke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PV-Anlage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ist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optimal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integriert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produziert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24’500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mehr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Doppelte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Gesamtenergiebedarfs.</w:t>
      </w:r>
      <w:r>
        <w:rPr>
          <w:rFonts w:ascii="Theinhardt Regular" w:hAnsi="Theinhardt Regular" w:cs="Theinhardt Regular" w:eastAsia="Theinhardt Regular"/>
          <w:color w:val="231F20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solarbetriebene</w:t>
      </w:r>
      <w:r>
        <w:rPr>
          <w:rFonts w:ascii="Theinhardt Regular" w:hAnsi="Theinhardt Regular" w:cs="Theinhardt Regular" w:eastAsia="Theinhardt Regular"/>
          <w:color w:val="231F20"/>
          <w:spacing w:val="6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Erdsonden-Wärmepumpe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stellt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Energie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before="87"/>
        <w:ind w:left="15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5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5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71" w:val="left" w:leader="none"/>
        </w:tabs>
        <w:spacing w:line="207" w:lineRule="auto" w:before="5"/>
        <w:ind w:left="157" w:right="357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 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-1"/>
          <w:sz w:val="14"/>
        </w:rPr>
        <w:t>36/22 </w:t>
      </w:r>
      <w:r>
        <w:rPr>
          <w:rFonts w:ascii="Theinhardt Regular"/>
          <w:sz w:val="14"/>
        </w:rPr>
        <w:t>cm 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z w:val="14"/>
        </w:rPr>
        <w:t>U-Wert:</w:t>
      </w:r>
      <w:r>
        <w:rPr>
          <w:rFonts w:ascii="Theinhardt Regular"/>
          <w:spacing w:val="2"/>
          <w:sz w:val="14"/>
        </w:rPr>
        <w:t> </w:t>
      </w:r>
      <w:r>
        <w:rPr>
          <w:rFonts w:ascii="Theinhardt Regular"/>
          <w:spacing w:val="-1"/>
          <w:sz w:val="14"/>
        </w:rPr>
        <w:t>0.12/0.14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z w:val="14"/>
        </w:rPr>
        <w:t>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  <w:r>
        <w:rPr>
          <w:rFonts w:ascii="Theinhardt Regular"/>
          <w:spacing w:val="27"/>
          <w:w w:val="98"/>
          <w:sz w:val="14"/>
        </w:rPr>
        <w:t> </w:t>
      </w:r>
      <w:r>
        <w:rPr>
          <w:rFonts w:ascii="Theinhardt Regular"/>
          <w:sz w:val="14"/>
        </w:rPr>
        <w:t>Dach:</w:t>
        <w:tab/>
      </w:r>
      <w:r>
        <w:rPr>
          <w:rFonts w:ascii="Theinhardt Regular"/>
          <w:spacing w:val="-1"/>
          <w:sz w:val="14"/>
        </w:rPr>
        <w:t>37</w:t>
      </w:r>
      <w:r>
        <w:rPr>
          <w:rFonts w:ascii="Theinhardt Regular"/>
          <w:sz w:val="14"/>
        </w:rPr>
        <w:t> cm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U-Wert:</w:t>
      </w:r>
      <w:r>
        <w:rPr>
          <w:rFonts w:ascii="Theinhardt Regular"/>
          <w:spacing w:val="2"/>
          <w:sz w:val="14"/>
        </w:rPr>
        <w:t> </w:t>
      </w:r>
      <w:r>
        <w:rPr>
          <w:rFonts w:ascii="Theinhardt Regular"/>
          <w:spacing w:val="-3"/>
          <w:sz w:val="14"/>
        </w:rPr>
        <w:t>0.11/0.12</w:t>
      </w:r>
      <w:r>
        <w:rPr>
          <w:rFonts w:ascii="Theinhardt Regular"/>
          <w:sz w:val="14"/>
        </w:rPr>
        <w:t>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z w:val="14"/>
        </w:rPr>
        <w:t>Boden:</w:t>
        <w:tab/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cm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U-Wert:</w:t>
      </w:r>
      <w:r>
        <w:rPr>
          <w:rFonts w:ascii="Theinhardt Regular"/>
          <w:spacing w:val="23"/>
          <w:sz w:val="14"/>
        </w:rPr>
        <w:t> </w:t>
      </w:r>
      <w:r>
        <w:rPr>
          <w:rFonts w:ascii="Theinhardt Regular"/>
          <w:sz w:val="14"/>
        </w:rPr>
        <w:t>0.15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z w:val="14"/>
        </w:rPr>
        <w:t>Fenster:       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z w:val="14"/>
        </w:rPr>
        <w:t>dreifach   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U-Wert:  </w:t>
      </w:r>
      <w:r>
        <w:rPr>
          <w:rFonts w:ascii="Theinhardt Regular"/>
          <w:spacing w:val="-6"/>
          <w:sz w:val="14"/>
        </w:rPr>
        <w:t>0.81-1.11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W/m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pacing w:val="-1"/>
          <w:sz w:val="14"/>
        </w:rPr>
        <w:t>K</w:t>
      </w:r>
    </w:p>
    <w:p>
      <w:pPr>
        <w:spacing w:before="38"/>
        <w:ind w:left="15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263%]</w:t>
      </w:r>
      <w:r>
        <w:rPr>
          <w:rFonts w:ascii="Theinhardt Bold"/>
          <w:sz w:val="14"/>
        </w:rPr>
      </w:r>
    </w:p>
    <w:p>
      <w:pPr>
        <w:spacing w:after="0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3" w:equalWidth="0">
            <w:col w:w="3502" w:space="69"/>
            <w:col w:w="3503" w:space="69"/>
            <w:col w:w="3627"/>
          </w:cols>
        </w:sectPr>
      </w:pPr>
    </w:p>
    <w:p>
      <w:pPr>
        <w:spacing w:line="130" w:lineRule="exact" w:before="0"/>
        <w:ind w:left="0" w:right="0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00399pt;margin-top:4.732731pt;width:518.7pt;height:16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3572"/>
                    <w:gridCol w:w="1398"/>
                    <w:gridCol w:w="833"/>
                    <w:gridCol w:w="426"/>
                    <w:gridCol w:w="632"/>
                  </w:tblGrid>
                  <w:tr>
                    <w:trPr>
                      <w:trHeight w:val="182" w:hRule="exact"/>
                    </w:trPr>
                    <w:tc>
                      <w:tcPr>
                        <w:tcW w:w="708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15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das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Dachgeschoss.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Das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Erdgeschoss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wird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für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Heizung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Brauchwasser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bereit.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53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4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13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20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4’500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konsequent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gedämmt.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Nach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Renovation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solarthermische</w:t>
                        </w:r>
                        <w:r>
                          <w:rPr>
                            <w:rFonts w:asci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Anlage</w:t>
                        </w:r>
                        <w:r>
                          <w:rPr>
                            <w:rFonts w:asci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dient </w:t>
                        </w:r>
                        <w:r>
                          <w:rPr>
                            <w:rFonts w:ascii="Theinhardt Regular"/>
                            <w:color w:val="231F20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Brauch-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45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140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3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70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2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25’200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2"/>
          <w:sz w:val="14"/>
        </w:rPr>
        <w:t>180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484" w:val="left" w:leader="none"/>
          <w:tab w:pos="1915" w:val="left" w:leader="none"/>
        </w:tabs>
        <w:spacing w:line="130" w:lineRule="exact" w:before="0"/>
        <w:ind w:left="61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2" w:equalWidth="0">
            <w:col w:w="8068" w:space="40"/>
            <w:col w:w="2662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17"/>
          <w:szCs w:val="17"/>
        </w:rPr>
        <w:sectPr>
          <w:type w:val="continuous"/>
          <w:pgSz w:w="12250" w:h="17180"/>
          <w:pgMar w:top="1000" w:bottom="280" w:left="580" w:right="900"/>
        </w:sectPr>
      </w:pPr>
    </w:p>
    <w:p>
      <w:pPr>
        <w:spacing w:line="234" w:lineRule="exact" w:before="113"/>
        <w:ind w:left="157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color w:val="231F20"/>
          <w:sz w:val="18"/>
        </w:rPr>
        <w:t>weist </w:t>
      </w:r>
      <w:r>
        <w:rPr>
          <w:rFonts w:ascii="Theinhardt Regular"/>
          <w:color w:val="231F20"/>
          <w:spacing w:val="13"/>
          <w:sz w:val="18"/>
        </w:rPr>
        <w:t> </w:t>
      </w:r>
      <w:r>
        <w:rPr>
          <w:rFonts w:ascii="Theinhardt Regular"/>
          <w:color w:val="231F20"/>
          <w:sz w:val="18"/>
        </w:rPr>
        <w:t>das </w:t>
      </w:r>
      <w:r>
        <w:rPr>
          <w:rFonts w:ascii="Theinhardt Regular"/>
          <w:color w:val="231F20"/>
          <w:spacing w:val="13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EFH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13"/>
          <w:sz w:val="18"/>
        </w:rPr>
        <w:t> </w:t>
      </w:r>
      <w:r>
        <w:rPr>
          <w:rFonts w:ascii="Theinhardt Regular"/>
          <w:color w:val="231F20"/>
          <w:sz w:val="18"/>
        </w:rPr>
        <w:t>vorbildliche </w:t>
      </w:r>
      <w:r>
        <w:rPr>
          <w:rFonts w:ascii="Theinhardt Regular"/>
          <w:color w:val="231F20"/>
          <w:spacing w:val="13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U-Werte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13"/>
          <w:sz w:val="18"/>
        </w:rPr>
        <w:t> </w:t>
      </w:r>
      <w:r>
        <w:rPr>
          <w:rFonts w:ascii="Theinhardt Regular"/>
          <w:color w:val="231F20"/>
          <w:sz w:val="18"/>
        </w:rPr>
        <w:t>von</w:t>
      </w:r>
      <w:r>
        <w:rPr>
          <w:rFonts w:ascii="Theinhardt Regular"/>
          <w:sz w:val="18"/>
        </w:rPr>
      </w:r>
    </w:p>
    <w:p>
      <w:pPr>
        <w:spacing w:line="234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0.12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5"/>
          <w:sz w:val="18"/>
        </w:rPr>
        <w:t>W/m</w:t>
      </w:r>
      <w:r>
        <w:rPr>
          <w:rFonts w:ascii="Theinhardt Regular" w:hAnsi="Theinhardt Regular"/>
          <w:color w:val="231F20"/>
          <w:spacing w:val="-5"/>
          <w:position w:val="6"/>
          <w:sz w:val="10"/>
        </w:rPr>
        <w:t>2</w:t>
      </w:r>
      <w:r>
        <w:rPr>
          <w:rFonts w:ascii="Theinhardt Regular" w:hAnsi="Theinhardt Regular"/>
          <w:color w:val="231F20"/>
          <w:spacing w:val="-5"/>
          <w:sz w:val="18"/>
        </w:rPr>
        <w:t>K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Wände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Dach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auf.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Zu-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104"/>
        <w:ind w:left="157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br w:type="column"/>
      </w:r>
      <w:r>
        <w:rPr>
          <w:rFonts w:ascii="Theinhardt Regular" w:hAnsi="Theinhardt Regular"/>
          <w:color w:val="231F20"/>
          <w:spacing w:val="-1"/>
          <w:sz w:val="18"/>
        </w:rPr>
        <w:t>wassererwärmung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 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 </w:t>
      </w:r>
      <w:r>
        <w:rPr>
          <w:rFonts w:ascii="Theinhardt Regular" w:hAnsi="Theinhardt Regular"/>
          <w:color w:val="231F20"/>
          <w:spacing w:val="1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Vorwärmung,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damit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Wärmepumpe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hocheffizient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arbei-</w:t>
      </w:r>
      <w:r>
        <w:rPr>
          <w:rFonts w:ascii="Theinhardt Regular" w:hAnsi="Theinhardt Regular"/>
          <w:sz w:val="18"/>
        </w:rPr>
      </w:r>
    </w:p>
    <w:p>
      <w:pPr>
        <w:tabs>
          <w:tab w:pos="1850" w:val="left" w:leader="none"/>
          <w:tab w:pos="2421" w:val="left" w:leader="none"/>
          <w:tab w:pos="2902" w:val="left" w:leader="none"/>
        </w:tabs>
        <w:spacing w:line="172" w:lineRule="exact" w:before="7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34.4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6’200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61" w:val="left" w:leader="none"/>
          <w:tab w:pos="2809" w:val="left" w:leader="none"/>
        </w:tabs>
        <w:spacing w:line="172" w:lineRule="exact" w:before="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199.4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35’900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[38%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3" w:equalWidth="0">
            <w:col w:w="3502" w:space="69"/>
            <w:col w:w="3513" w:space="59"/>
            <w:col w:w="3627"/>
          </w:cols>
        </w:sect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575"/>
        <w:gridCol w:w="1413"/>
        <w:gridCol w:w="2813"/>
        <w:gridCol w:w="3260"/>
        <w:gridCol w:w="723"/>
        <w:gridCol w:w="466"/>
        <w:gridCol w:w="629"/>
      </w:tblGrid>
      <w:tr>
        <w:trPr>
          <w:trHeight w:val="288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2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-1"/>
                <w:sz w:val="18"/>
              </w:rPr>
              <w:t>sammen</w:t>
            </w:r>
            <w:r>
              <w:rPr>
                <w:rFonts w:ascii="Theinhardt Regular"/>
                <w:color w:val="231F20"/>
                <w:spacing w:val="32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mit</w:t>
            </w:r>
            <w:r>
              <w:rPr>
                <w:rFonts w:ascii="Theinhardt Regular"/>
                <w:color w:val="231F20"/>
                <w:spacing w:val="33"/>
                <w:sz w:val="18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LED-Lampen</w:t>
            </w:r>
            <w:r>
              <w:rPr>
                <w:rFonts w:ascii="Theinhardt Regular"/>
                <w:color w:val="231F20"/>
                <w:spacing w:val="32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und</w:t>
            </w:r>
            <w:r>
              <w:rPr>
                <w:rFonts w:ascii="Theinhardt Regular"/>
                <w:color w:val="231F20"/>
                <w:spacing w:val="33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Haushalts-</w:t>
              <w:tab/>
              <w:t>ten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kann.</w:t>
              <w:tab/>
            </w:r>
            <w:r>
              <w:rPr>
                <w:rFonts w:ascii="Theinhardt Regular"/>
                <w:color w:val="231F20"/>
                <w:position w:val="1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1"/>
                <w:position w:val="1"/>
                <w:sz w:val="14"/>
              </w:rPr>
              <w:t>370</w:t>
            </w:r>
            <w:r>
              <w:rPr>
                <w:rFonts w:ascii="Theinhardt Regular"/>
                <w:color w:val="231F20"/>
                <w:spacing w:val="1"/>
                <w:position w:val="1"/>
                <w:sz w:val="14"/>
              </w:rPr>
              <w:t> </w:t>
            </w:r>
            <w:r>
              <w:rPr>
                <w:rFonts w:ascii="Theinhardt Regular"/>
                <w:color w:val="231F20"/>
                <w:position w:val="1"/>
                <w:sz w:val="14"/>
              </w:rPr>
              <w:t>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tabs>
                <w:tab w:pos="3853" w:val="left" w:leader="none"/>
                <w:tab w:pos="7198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geräten</w:t>
            </w:r>
            <w:r>
              <w:rPr>
                <w:rFonts w:ascii="Theinhardt Regular" w:hAnsi="Theinhardt Regular"/>
                <w:color w:val="231F20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der</w:t>
            </w:r>
            <w:r>
              <w:rPr>
                <w:rFonts w:ascii="Theinhardt Regular" w:hAnsi="Theinhardt Regular"/>
                <w:color w:val="231F20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besten</w:t>
            </w:r>
            <w:r>
              <w:rPr>
                <w:rFonts w:ascii="Theinhardt Regular" w:hAnsi="Theinhardt Regular"/>
                <w:color w:val="231F20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Energieklasse</w:t>
            </w:r>
            <w:r>
              <w:rPr>
                <w:rFonts w:ascii="Theinhardt Regular" w:hAnsi="Theinhardt Regular"/>
                <w:color w:val="231F20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wird</w:t>
            </w:r>
            <w:r>
              <w:rPr>
                <w:rFonts w:ascii="Theinhardt Regular" w:hAnsi="Theinhardt Regular"/>
                <w:color w:val="231F20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der</w:t>
              <w:tab/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Dadurch</w:t>
            </w:r>
            <w:r>
              <w:rPr>
                <w:rFonts w:ascii="Theinhardt Regular" w:hAnsi="Theinhardt Regular"/>
                <w:color w:val="231F20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wird</w:t>
            </w:r>
            <w:r>
              <w:rPr>
                <w:rFonts w:ascii="Theinhardt Regular" w:hAnsi="Theinhardt Regular"/>
                <w:color w:val="231F20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eine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vorbildliche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Eigen-</w:t>
              <w:tab/>
            </w:r>
            <w:r>
              <w:rPr>
                <w:rFonts w:ascii="Theinhardt Regular" w:hAnsi="Theinhardt Regular"/>
                <w:color w:val="231F20"/>
                <w:spacing w:val="1"/>
                <w:position w:val="8"/>
                <w:sz w:val="14"/>
              </w:rPr>
              <w:t>Warmwasser: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4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74" w:right="0" w:firstLine="54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1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6" w:right="0" w:hanging="23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3’300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421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WP: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9.5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3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"/>
                <w:sz w:val="14"/>
                <w:szCs w:val="14"/>
              </w:rPr>
              <w:t>5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4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position w:val="1"/>
                <w:sz w:val="18"/>
                <w:szCs w:val="18"/>
              </w:rPr>
              <w:t>Energiebedarf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8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von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8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35’900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8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position w:val="1"/>
                <w:sz w:val="18"/>
                <w:szCs w:val="18"/>
              </w:rPr>
              <w:t>kWh/a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8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auf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position w:val="1"/>
                <w:sz w:val="18"/>
                <w:szCs w:val="18"/>
              </w:rPr>
              <w:t>energieversorgung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1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von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1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204%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1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position w:val="1"/>
                <w:sz w:val="18"/>
                <w:szCs w:val="18"/>
              </w:rPr>
              <w:t>erreicht.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0"/>
                <w:position w:val="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position w:val="1"/>
                <w:sz w:val="18"/>
                <w:szCs w:val="18"/>
              </w:rPr>
              <w:t>Für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"/>
                <w:sz w:val="14"/>
                <w:szCs w:val="14"/>
              </w:rPr>
              <w:t>Elektrizität: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18.5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5</w:t>
            </w:r>
            <w:r>
              <w:rPr>
                <w:rFonts w:ascii="Theinhardt Regular"/>
                <w:color w:val="231F20"/>
                <w:sz w:val="14"/>
              </w:rPr>
              <w:t>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6’858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90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13’700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8"/>
                <w:szCs w:val="18"/>
              </w:rPr>
              <w:t>kWh/a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 enorm reduziert.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8"/>
                <w:szCs w:val="18"/>
              </w:rPr>
              <w:t>diese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8"/>
                <w:szCs w:val="18"/>
              </w:rPr>
              <w:t>aussergewöhnliche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8"/>
                <w:szCs w:val="18"/>
              </w:rPr>
              <w:t>Brandsanierung</w:t>
              <w:tab/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position w:val="6"/>
                <w:sz w:val="14"/>
                <w:szCs w:val="14"/>
              </w:rPr>
              <w:t>Gesamt-EB: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2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36.9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13’658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44" w:val="left" w:leader="none"/>
                <w:tab w:pos="6916" w:val="left" w:leader="none"/>
              </w:tabs>
              <w:spacing w:line="215" w:lineRule="exact" w:before="5"/>
              <w:ind w:right="140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Wie </w:t>
            </w:r>
            <w:r>
              <w:rPr>
                <w:rFonts w:ascii="Theinhardt Regular" w:hAnsi="Theinhardt Regular"/>
                <w:color w:val="231F20"/>
                <w:spacing w:val="1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auch </w:t>
            </w:r>
            <w:r>
              <w:rPr>
                <w:rFonts w:ascii="Theinhardt Regular" w:hAnsi="Theinhardt Regular"/>
                <w:color w:val="231F20"/>
                <w:spacing w:val="1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beim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Vorgängergebäude</w:t>
            </w:r>
            <w:r>
              <w:rPr>
                <w:rFonts w:ascii="Theinhardt Regular" w:hAnsi="Theinhardt Regular"/>
                <w:color w:val="231F20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1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ist</w:t>
              <w:tab/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verdient</w:t>
            </w:r>
            <w:r>
              <w:rPr>
                <w:rFonts w:ascii="Theinhardt Regular" w:hAnsi="Theinhardt Regular"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das</w:t>
            </w:r>
            <w:r>
              <w:rPr>
                <w:rFonts w:ascii="Theinhardt Regular" w:hAnsi="Theinhardt Regular"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Einfamilienhaus</w:t>
            </w:r>
            <w:r>
              <w:rPr>
                <w:rFonts w:ascii="Theinhardt Regular" w:hAnsi="Theinhardt Regular"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das</w:t>
            </w:r>
            <w:r>
              <w:rPr>
                <w:rFonts w:ascii="Theinhardt Regular" w:hAnsi="Theinhardt Regular"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PlusEner-</w:t>
              <w:tab/>
            </w:r>
            <w:r>
              <w:rPr>
                <w:rFonts w:ascii="Theinhardt Bold" w:hAnsi="Theinhardt Bold"/>
                <w:b/>
                <w:color w:val="231F20"/>
                <w:w w:val="95"/>
                <w:position w:val="7"/>
                <w:sz w:val="14"/>
              </w:rPr>
              <w:t>Energieversorgung</w:t>
            </w:r>
            <w:r>
              <w:rPr>
                <w:rFonts w:ascii="Theinhardt Bold" w:hAnsi="Theinhardt Bold"/>
                <w:sz w:val="14"/>
              </w:rPr>
            </w:r>
          </w:p>
          <w:p>
            <w:pPr>
              <w:pStyle w:val="TableParagraph"/>
              <w:spacing w:line="126" w:lineRule="exact"/>
              <w:ind w:right="5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1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     </w:t>
            </w:r>
            <w:r>
              <w:rPr>
                <w:rFonts w:ascii="Theinhardt Regular"/>
                <w:color w:val="231F20"/>
                <w:spacing w:val="2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2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320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  <w:tab w:pos="8078" w:val="right" w:leader="none"/>
              </w:tabs>
              <w:spacing w:line="15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8"/>
              </w:rPr>
              <w:t>das</w:t>
            </w:r>
            <w:r>
              <w:rPr>
                <w:rFonts w:ascii="Theinhardt Regular"/>
                <w:color w:val="231F20"/>
                <w:spacing w:val="41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neue</w:t>
            </w:r>
            <w:r>
              <w:rPr>
                <w:rFonts w:ascii="Theinhardt Regular"/>
                <w:color w:val="231F20"/>
                <w:spacing w:val="42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Dach</w:t>
            </w:r>
            <w:r>
              <w:rPr>
                <w:rFonts w:ascii="Theinhardt Regular"/>
                <w:color w:val="231F20"/>
                <w:spacing w:val="41"/>
                <w:sz w:val="18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asymmetrisch</w:t>
            </w:r>
            <w:r>
              <w:rPr>
                <w:rFonts w:ascii="Theinhardt Regular"/>
                <w:color w:val="231F20"/>
                <w:spacing w:val="42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konstruiert,</w:t>
              <w:tab/>
              <w:t>gieBau-Diplom 2018.</w:t>
              <w:tab/>
            </w:r>
            <w:r>
              <w:rPr>
                <w:rFonts w:ascii="Theinhardt Regular"/>
                <w:color w:val="231F20"/>
                <w:spacing w:val="1"/>
                <w:position w:val="-1"/>
                <w:sz w:val="14"/>
              </w:rPr>
              <w:t>SK:</w:t>
              <w:tab/>
            </w:r>
            <w:r>
              <w:rPr>
                <w:rFonts w:ascii="Theinhardt Regular"/>
                <w:color w:val="231F20"/>
                <w:spacing w:val="-7"/>
                <w:position w:val="-1"/>
                <w:sz w:val="14"/>
              </w:rPr>
              <w:t>11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tabs>
                <w:tab w:pos="7198" w:val="left" w:leader="none"/>
              </w:tabs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mit</w:t>
            </w:r>
            <w:r>
              <w:rPr>
                <w:rFonts w:ascii="Theinhardt Regular" w:hAnsi="Theinhardt Regular"/>
                <w:color w:val="231F20"/>
                <w:spacing w:val="-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einer</w:t>
            </w:r>
            <w:r>
              <w:rPr>
                <w:rFonts w:ascii="Theinhardt Regular" w:hAnsi="Theinhardt Regular"/>
                <w:color w:val="231F20"/>
                <w:spacing w:val="-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kleineren,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steilen</w:t>
            </w:r>
            <w:r>
              <w:rPr>
                <w:rFonts w:ascii="Theinhardt Regular" w:hAnsi="Theinhardt Regular"/>
                <w:color w:val="231F20"/>
                <w:spacing w:val="-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Dachfläche</w:t>
            </w:r>
            <w:r>
              <w:rPr>
                <w:rFonts w:ascii="Theinhardt Regular" w:hAnsi="Theinhardt Regular"/>
                <w:color w:val="231F20"/>
                <w:spacing w:val="-3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nach</w:t>
              <w:tab/>
            </w:r>
            <w:r>
              <w:rPr>
                <w:rFonts w:ascii="Theinhardt Regular" w:hAnsi="Theinhardt Regular"/>
                <w:color w:val="231F20"/>
                <w:spacing w:val="1"/>
                <w:position w:val="5"/>
                <w:sz w:val="14"/>
              </w:rPr>
              <w:t>SK</w:t>
            </w:r>
            <w:r>
              <w:rPr>
                <w:rFonts w:ascii="Theinhardt Regular" w:hAnsi="Theinhardt Regular"/>
                <w:color w:val="231F20"/>
                <w:position w:val="5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2"/>
                <w:position w:val="5"/>
                <w:sz w:val="14"/>
              </w:rPr>
              <w:t>genutzt: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6</w:t>
            </w:r>
            <w:r>
              <w:rPr>
                <w:rFonts w:ascii="Theinhardt Regular"/>
                <w:color w:val="231F20"/>
                <w:spacing w:val="4"/>
                <w:sz w:val="14"/>
              </w:rPr>
              <w:t>0</w:t>
            </w:r>
            <w:r>
              <w:rPr>
                <w:rFonts w:ascii="Theinhardt Regular"/>
                <w:color w:val="231F20"/>
                <w:sz w:val="14"/>
              </w:rPr>
              <w:t>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6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"/>
                <w:sz w:val="14"/>
                <w:szCs w:val="14"/>
              </w:rPr>
              <w:t>6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4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  <w:p>
            <w:pPr>
              <w:pStyle w:val="TableParagraph"/>
              <w:spacing w:line="168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3’300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55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6" w:val="left" w:leader="none"/>
              </w:tabs>
              <w:spacing w:line="161" w:lineRule="exact"/>
              <w:ind w:right="5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w w:val="95"/>
                <w:sz w:val="14"/>
              </w:rPr>
              <w:t>PV:</w:t>
              <w:tab/>
            </w:r>
            <w:r>
              <w:rPr>
                <w:rFonts w:ascii="Theinhardt Regular"/>
                <w:color w:val="231F20"/>
                <w:spacing w:val="-2"/>
                <w:sz w:val="14"/>
              </w:rPr>
              <w:t>150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26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19.8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3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164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180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24’542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537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55" w:right="-32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pacing w:val="-1"/>
                <w:sz w:val="18"/>
              </w:rPr>
              <w:t>Norde</w:t>
            </w:r>
            <w:r>
              <w:rPr>
                <w:rFonts w:ascii="Theinhardt Regular"/>
                <w:sz w:val="18"/>
              </w:rPr>
            </w:r>
          </w:p>
          <w:p>
            <w:pPr>
              <w:pStyle w:val="TableParagraph"/>
              <w:spacing w:line="23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che.</w:t>
            </w:r>
            <w:r>
              <w:rPr>
                <w:rFonts w:ascii="Theinhardt Regular"/>
                <w:sz w:val="18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114" w:right="-16" w:hanging="84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n</w:t>
            </w:r>
            <w:r>
              <w:rPr>
                <w:rFonts w:asci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und</w:t>
            </w:r>
            <w:r>
              <w:rPr>
                <w:rFonts w:asci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e</w:t>
            </w:r>
            <w:r>
              <w:rPr>
                <w:rFonts w:ascii="Theinhardt Regular"/>
                <w:sz w:val="18"/>
              </w:rPr>
            </w:r>
          </w:p>
          <w:p>
            <w:pPr>
              <w:pStyle w:val="TableParagraph"/>
              <w:spacing w:line="234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Eine</w:t>
            </w:r>
            <w:r>
              <w:rPr>
                <w:rFonts w:ascii="Theinhardt Regular"/>
                <w:sz w:val="18"/>
              </w:rPr>
            </w:r>
          </w:p>
        </w:tc>
        <w:tc>
          <w:tcPr>
            <w:tcW w:w="42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1882"/>
              <w:jc w:val="center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iner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grossen,</w:t>
            </w:r>
            <w:r>
              <w:rPr>
                <w:rFonts w:ascii="Theinhardt Regular" w:hAnsi="Theinhardt Regular"/>
                <w:color w:val="231F20"/>
                <w:spacing w:val="-2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flacheren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Südflä-</w:t>
            </w:r>
            <w:r>
              <w:rPr>
                <w:rFonts w:ascii="Theinhardt Regular" w:hAnsi="Theinhardt Regular"/>
                <w:sz w:val="18"/>
              </w:rPr>
            </w:r>
          </w:p>
          <w:p>
            <w:pPr>
              <w:pStyle w:val="TableParagraph"/>
              <w:tabs>
                <w:tab w:pos="1412" w:val="left" w:leader="none"/>
              </w:tabs>
              <w:spacing w:line="234" w:lineRule="exact"/>
              <w:ind w:right="1777"/>
              <w:jc w:val="center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monokristalline</w:t>
              <w:tab/>
            </w:r>
            <w:r>
              <w:rPr>
                <w:rFonts w:ascii="Theinhardt Regular"/>
                <w:color w:val="231F20"/>
                <w:spacing w:val="-2"/>
                <w:sz w:val="18"/>
              </w:rPr>
              <w:t>PV-Anlage</w:t>
            </w:r>
            <w:r>
              <w:rPr>
                <w:rFonts w:ascii="Theinhardt Regular"/>
                <w:sz w:val="18"/>
              </w:rPr>
            </w:r>
          </w:p>
        </w:tc>
        <w:tc>
          <w:tcPr>
            <w:tcW w:w="3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8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72" w:lineRule="exact" w:before="32"/>
              <w:ind w:left="18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8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204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72" w:lineRule="exact" w:before="32"/>
              <w:ind w:left="119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right="3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204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27’842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spacing w:line="172" w:lineRule="exact" w:before="32"/>
              <w:ind w:left="1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27’842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6" w:hRule="exact"/>
        </w:trPr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auto"/>
              <w:ind w:left="1899" w:right="71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Gesamtenergiebedarf: 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104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13’658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  <w:p>
            <w:pPr>
              <w:pStyle w:val="TableParagraph"/>
              <w:spacing w:line="172" w:lineRule="exact"/>
              <w:ind w:left="12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14’184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7300" w:right="60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37.323002pt;margin-top:-5.950791pt;width:346.06284pt;height:229.964pt;mso-position-horizontal-relative:page;mso-position-vertical-relative:paragraph;z-index:-9520" type="#_x0000_t75" stroked="false">
            <v:imagedata r:id="rId6" o:title=""/>
          </v:shape>
        </w:pict>
      </w: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Kierzek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29.08.2018</w:t>
      </w:r>
      <w:r>
        <w:rPr>
          <w:rFonts w:ascii="Theinhardt Regular" w:hAnsi="Theinhardt Regular"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Tel. </w:t>
      </w:r>
      <w:r>
        <w:rPr>
          <w:rFonts w:ascii="Theinhardt Regular" w:hAnsi="Theinhardt Regular"/>
          <w:color w:val="231F20"/>
          <w:spacing w:val="-2"/>
          <w:sz w:val="14"/>
        </w:rPr>
        <w:t>071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672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72</w:t>
      </w:r>
      <w:r>
        <w:rPr>
          <w:rFonts w:ascii="Theinhardt Regular" w:hAnsi="Theinhardt Regular"/>
          <w:color w:val="231F20"/>
          <w:sz w:val="14"/>
        </w:rPr>
        <w:t> 35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0" w:right="2135" w:firstLine="0"/>
        <w:jc w:val="righ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3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0" w:right="714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0" w:right="2456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Familie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Schilling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73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Wigärtlistrasse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16,</w:t>
      </w:r>
      <w:r>
        <w:rPr>
          <w:rFonts w:ascii="Theinhardt Regular" w:hAnsi="Theinhardt Regular"/>
          <w:color w:val="231F20"/>
          <w:sz w:val="14"/>
        </w:rPr>
        <w:t> 8598 </w:t>
      </w:r>
      <w:r>
        <w:rPr>
          <w:rFonts w:ascii="Theinhardt Regular" w:hAnsi="Theinhardt Regular"/>
          <w:color w:val="231F20"/>
          <w:spacing w:val="2"/>
          <w:sz w:val="14"/>
        </w:rPr>
        <w:t>Bottighofen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7300" w:right="130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Architektur/Bauleitung</w:t>
      </w:r>
      <w:r>
        <w:rPr>
          <w:rFonts w:ascii="Theinhardt Bold"/>
          <w:b/>
          <w:color w:val="231F20"/>
          <w:spacing w:val="3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dransfeldarchitekten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Poststrasse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9a,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8272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Ermatingen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0" w:right="719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071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660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09</w:t>
      </w:r>
      <w:r>
        <w:rPr>
          <w:rFonts w:ascii="Theinhardt Regular"/>
          <w:color w:val="231F20"/>
          <w:sz w:val="14"/>
        </w:rPr>
        <w:t> 09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dransfeld@dransfeld.ch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0" w:right="2516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HLK-Ingenieur</w:t>
      </w:r>
      <w:r>
        <w:rPr>
          <w:rFonts w:ascii="Theinhardt Bold"/>
          <w:sz w:val="14"/>
        </w:rPr>
      </w:r>
    </w:p>
    <w:p>
      <w:pPr>
        <w:spacing w:line="207" w:lineRule="auto" w:before="5"/>
        <w:ind w:left="7300" w:right="7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Naef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Energietechnik,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Jupiterstrasse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26,</w:t>
      </w:r>
      <w:r>
        <w:rPr>
          <w:rFonts w:ascii="Theinhardt Regular" w:hAnsi="Theinhardt Regular"/>
          <w:color w:val="231F20"/>
          <w:spacing w:val="4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8032 </w:t>
      </w:r>
      <w:r>
        <w:rPr>
          <w:rFonts w:ascii="Theinhardt Regular" w:hAnsi="Theinhardt Regular"/>
          <w:color w:val="231F20"/>
          <w:spacing w:val="1"/>
          <w:sz w:val="14"/>
        </w:rPr>
        <w:t>Zürich,</w:t>
      </w:r>
      <w:r>
        <w:rPr>
          <w:rFonts w:ascii="Theinhardt Regular" w:hAnsi="Theinhardt Regular"/>
          <w:color w:val="231F20"/>
          <w:sz w:val="14"/>
        </w:rPr>
        <w:t> 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380</w:t>
      </w:r>
      <w:r>
        <w:rPr>
          <w:rFonts w:ascii="Theinhardt Regular" w:hAnsi="Theinhardt Regular"/>
          <w:color w:val="231F20"/>
          <w:sz w:val="14"/>
        </w:rPr>
        <w:t> 36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30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0" w:lineRule="atLeast"/>
        <w:ind w:left="729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2390" cy="118567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9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98" w:val="left" w:leader="none"/>
        </w:tabs>
        <w:spacing w:before="4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580" w:right="900"/>
        </w:sectPr>
      </w:pP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76"/>
        <w:ind w:left="38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 35’900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verschlang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Einfamilien-</w:t>
      </w:r>
      <w:r>
        <w:rPr>
          <w:rFonts w:ascii="Theinhardt Bold" w:hAnsi="Theinhardt Bold" w:cs="Theinhardt Bold" w:eastAsia="Theinhardt Bold"/>
          <w:b/>
          <w:bCs/>
          <w:color w:val="231F20"/>
          <w:spacing w:val="4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haus vor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Sanierung mehr als doppelt so viel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Energie.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76"/>
        <w:ind w:left="383" w:right="3754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Nach einem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Vollbrand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> das Dachgeschoss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vollständig</w:t>
      </w:r>
      <w:r>
        <w:rPr>
          <w:rFonts w:ascii="Theinhardt Bold" w:hAnsi="Theinhardt Bold"/>
          <w:b/>
          <w:color w:val="231F20"/>
          <w:sz w:val="14"/>
        </w:rPr>
        <w:t> ersetzt.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Erdgeschoss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pacing w:val="5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gedämmt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 in </w:t>
      </w:r>
      <w:r>
        <w:rPr>
          <w:rFonts w:ascii="Theinhardt Bold" w:hAnsi="Theinhardt Bold"/>
          <w:b/>
          <w:color w:val="231F20"/>
          <w:spacing w:val="-1"/>
          <w:sz w:val="14"/>
        </w:rPr>
        <w:t>die südliche</w:t>
      </w:r>
      <w:r>
        <w:rPr>
          <w:rFonts w:ascii="Theinhardt Bold" w:hAnsi="Theinhardt Bold"/>
          <w:b/>
          <w:color w:val="231F20"/>
          <w:sz w:val="14"/>
        </w:rPr>
        <w:t> Dachfläche eine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PV-Anlage integriert.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2" w:equalWidth="0">
            <w:col w:w="3420" w:space="151"/>
            <w:col w:w="7199"/>
          </w:cols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3"/>
          <w:szCs w:val="23"/>
        </w:rPr>
      </w:pPr>
      <w:r>
        <w:rPr/>
        <w:pict>
          <v:group style="position:absolute;margin-left:278.657898pt;margin-top:59.008209pt;width:1.9pt;height:.1pt;mso-position-horizontal-relative:page;mso-position-vertical-relative:page;z-index:-9664" coordorigin="5573,1180" coordsize="38,2">
            <v:shape style="position:absolute;left:5573;top:1180;width:38;height:2" coordorigin="5573,1180" coordsize="38,0" path="m5573,1180l5611,1180e" filled="false" stroked="true" strokeweight=".405pt" strokecolor="#231f20">
              <v:path arrowok="t"/>
            </v:shape>
            <w10:wrap type="none"/>
          </v:group>
        </w:pict>
      </w:r>
    </w:p>
    <w:p>
      <w:pPr>
        <w:spacing w:before="7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00" w:bottom="280" w:left="5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8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157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dransfeld@dransfeld.ch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2018-10-02T09:58:41Z</dcterms:created>
  <dcterms:modified xsi:type="dcterms:W3CDTF">2018-10-02T09:58:41Z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