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96" w:val="left" w:leader="none"/>
        </w:tabs>
        <w:spacing w:line="242" w:lineRule="auto" w:before="29"/>
        <w:ind w:left="157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7.063pt;margin-top:13.227315pt;width:.1pt;height:.1pt;mso-position-horizontal-relative:page;mso-position-vertical-relative:paragraph;z-index:-7528" coordorigin="741,265" coordsize="2,2">
            <v:shape style="position:absolute;left:741;top:265;width:2;height:2" coordorigin="741,265" coordsize="0,0" path="m741,265l741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13.227315pt;width:.1pt;height:.1pt;mso-position-horizontal-relative:page;mso-position-vertical-relative:paragraph;z-index:1120" coordorigin="3185,265" coordsize="2,2">
            <v:shape style="position:absolute;left:3185;top:265;width:2;height:2" coordorigin="3185,265" coordsize="0,0" path="m3185,265l318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7.063pt;margin-top:25.227314pt;width:.1pt;height:.1pt;mso-position-horizontal-relative:page;mso-position-vertical-relative:paragraph;z-index:-7480" coordorigin="741,505" coordsize="2,2">
            <v:shape style="position:absolute;left:741;top:505;width:2;height:2" coordorigin="741,505" coordsize="0,0" path="m741,505l741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9.235992pt;margin-top:25.227314pt;width:.1pt;height:.1pt;mso-position-horizontal-relative:page;mso-position-vertical-relative:paragraph;z-index:1168" coordorigin="3185,505" coordsize="2,2">
            <v:shape style="position:absolute;left:3185;top:505;width:2;height:2" coordorigin="3185,505" coordsize="0,0" path="m3185,505l318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36.851002pt;margin-top:51.455414pt;width:82.2043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57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Bommeli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Steffisburg/BE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1925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1966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Anbau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erweitert.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Zuge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sowie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Teilbereiche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Aussenfassade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gedämmt.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neu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26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cm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0.14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color w:val="231F20"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konsumier-</w:t>
      </w:r>
      <w:r>
        <w:rPr>
          <w:rFonts w:ascii="Theinhardt Bold" w:hAnsi="Theinhardt Bold" w:cs="Theinhardt Bold" w:eastAsia="Theinhardt Bold"/>
          <w:b/>
          <w:bCs/>
          <w:color w:val="231F20"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Rennovation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Baus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fast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Hälfte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8"/>
          <w:szCs w:val="18"/>
        </w:rPr>
        <w:t>–</w:t>
      </w:r>
      <w:r>
        <w:rPr>
          <w:rFonts w:ascii="Theinhardt Regular" w:hAnsi="Theinhardt Regular" w:cs="Theinhardt Regular" w:eastAsia="Theinhardt Regular"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Nord-West-Dach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Süd-Ost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PEB-EFH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verfügt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 122%.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580" w:right="900"/>
          <w:cols w:num="2" w:equalWidth="0">
            <w:col w:w="2597" w:space="8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5"/>
        <w:ind w:left="157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3"/>
          <w:sz w:val="40"/>
        </w:rPr>
        <w:t>122%-PEB-EFH</w:t>
      </w:r>
      <w:r>
        <w:rPr>
          <w:rFonts w:ascii="Theinhardt Black"/>
          <w:b/>
          <w:color w:val="0067B1"/>
          <w:spacing w:val="-29"/>
          <w:sz w:val="40"/>
        </w:rPr>
        <w:t> </w:t>
      </w:r>
      <w:r>
        <w:rPr>
          <w:rFonts w:ascii="Theinhardt Black"/>
          <w:b/>
          <w:color w:val="0067B1"/>
          <w:spacing w:val="-10"/>
          <w:sz w:val="40"/>
        </w:rPr>
        <w:t>Sanierung</w:t>
      </w:r>
      <w:r>
        <w:rPr>
          <w:rFonts w:ascii="Theinhardt Black"/>
          <w:b/>
          <w:color w:val="0067B1"/>
          <w:spacing w:val="-28"/>
          <w:sz w:val="40"/>
        </w:rPr>
        <w:t> </w:t>
      </w:r>
      <w:r>
        <w:rPr>
          <w:rFonts w:ascii="Theinhardt Black"/>
          <w:b/>
          <w:color w:val="0067B1"/>
          <w:spacing w:val="-10"/>
          <w:sz w:val="40"/>
        </w:rPr>
        <w:t>Bommeli,</w:t>
      </w:r>
      <w:r>
        <w:rPr>
          <w:rFonts w:ascii="Theinhardt Black"/>
          <w:b/>
          <w:color w:val="0067B1"/>
          <w:spacing w:val="-53"/>
          <w:sz w:val="40"/>
        </w:rPr>
        <w:t> </w:t>
      </w:r>
      <w:r>
        <w:rPr>
          <w:rFonts w:ascii="Theinhardt Black"/>
          <w:b/>
          <w:color w:val="0067B1"/>
          <w:spacing w:val="-11"/>
          <w:sz w:val="40"/>
        </w:rPr>
        <w:t>3612</w:t>
      </w:r>
      <w:r>
        <w:rPr>
          <w:rFonts w:ascii="Theinhardt Black"/>
          <w:b/>
          <w:color w:val="0067B1"/>
          <w:spacing w:val="-28"/>
          <w:sz w:val="40"/>
        </w:rPr>
        <w:t> </w:t>
      </w:r>
      <w:r>
        <w:rPr>
          <w:rFonts w:ascii="Theinhardt Black"/>
          <w:b/>
          <w:color w:val="0067B1"/>
          <w:spacing w:val="-6"/>
          <w:sz w:val="40"/>
        </w:rPr>
        <w:t>Stef</w:t>
      </w:r>
      <w:r>
        <w:rPr>
          <w:rFonts w:ascii="Theinhardt Black"/>
          <w:b/>
          <w:color w:val="0067B1"/>
          <w:spacing w:val="-7"/>
          <w:sz w:val="40"/>
        </w:rPr>
        <w:t>fi</w:t>
      </w:r>
      <w:r>
        <w:rPr>
          <w:rFonts w:ascii="Theinhardt Black"/>
          <w:b/>
          <w:color w:val="0067B1"/>
          <w:spacing w:val="-6"/>
          <w:sz w:val="40"/>
        </w:rPr>
        <w:t>sburg/BE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580" w:right="90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PlusEnergie-Einfamilienhaus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Steffis-</w:t>
      </w:r>
      <w:r>
        <w:rPr>
          <w:color w:val="231F20"/>
          <w:spacing w:val="48"/>
        </w:rPr>
        <w:t> </w:t>
      </w:r>
      <w:r>
        <w:rPr>
          <w:color w:val="231F20"/>
          <w:spacing w:val="-2"/>
        </w:rPr>
        <w:t>burg</w:t>
      </w:r>
      <w:r>
        <w:rPr>
          <w:color w:val="231F20"/>
          <w:spacing w:val="2"/>
        </w:rPr>
        <w:t> </w:t>
      </w:r>
      <w:r>
        <w:rPr>
          <w:color w:val="231F20"/>
        </w:rPr>
        <w:t>aus</w:t>
      </w:r>
      <w:r>
        <w:rPr>
          <w:color w:val="231F20"/>
          <w:spacing w:val="2"/>
        </w:rPr>
        <w:t> </w:t>
      </w:r>
      <w:r>
        <w:rPr>
          <w:color w:val="231F20"/>
        </w:rPr>
        <w:t>dem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2"/>
        </w:rPr>
        <w:t> </w:t>
      </w:r>
      <w:r>
        <w:rPr>
          <w:color w:val="231F20"/>
        </w:rPr>
        <w:t>1925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2"/>
        </w:rPr>
        <w:t> </w:t>
      </w:r>
      <w:r>
        <w:rPr>
          <w:color w:val="231F20"/>
        </w:rPr>
        <w:t>1966</w:t>
      </w:r>
      <w:r>
        <w:rPr>
          <w:color w:val="231F20"/>
          <w:spacing w:val="2"/>
        </w:rPr>
        <w:t> </w:t>
      </w:r>
      <w:r>
        <w:rPr>
          <w:color w:val="231F20"/>
        </w:rPr>
        <w:t>ver-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grössert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verschlang</w:t>
      </w:r>
      <w:r>
        <w:rPr>
          <w:color w:val="231F20"/>
          <w:spacing w:val="3"/>
        </w:rPr>
        <w:t> </w:t>
      </w:r>
      <w:r>
        <w:rPr>
          <w:color w:val="231F20"/>
        </w:rPr>
        <w:t>jedes</w:t>
      </w:r>
      <w:r>
        <w:rPr>
          <w:color w:val="231F20"/>
          <w:spacing w:val="3"/>
        </w:rPr>
        <w:t> </w:t>
      </w:r>
      <w:r>
        <w:rPr>
          <w:color w:val="231F20"/>
        </w:rPr>
        <w:t>Jahr</w:t>
      </w:r>
      <w:r>
        <w:rPr>
          <w:color w:val="231F20"/>
          <w:spacing w:val="3"/>
        </w:rPr>
        <w:t> </w:t>
      </w:r>
      <w:r>
        <w:rPr>
          <w:color w:val="231F20"/>
        </w:rPr>
        <w:t>rund</w:t>
      </w:r>
      <w:r>
        <w:rPr>
          <w:color w:val="231F20"/>
          <w:spacing w:val="25"/>
        </w:rPr>
        <w:t> </w:t>
      </w:r>
      <w:r>
        <w:rPr>
          <w:color w:val="231F20"/>
        </w:rPr>
        <w:t>20’900 kWh </w:t>
      </w:r>
      <w:r>
        <w:rPr>
          <w:color w:val="231F20"/>
          <w:spacing w:val="-1"/>
        </w:rPr>
        <w:t>Energie.</w:t>
      </w:r>
      <w:r>
        <w:rPr/>
      </w:r>
    </w:p>
    <w:p>
      <w:pPr>
        <w:pStyle w:val="BodyText"/>
        <w:spacing w:line="230" w:lineRule="exact"/>
        <w:ind w:right="0" w:firstLine="226"/>
        <w:jc w:val="left"/>
      </w:pPr>
      <w:r>
        <w:rPr>
          <w:color w:val="231F20"/>
        </w:rPr>
        <w:t>Eine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Totalsanierung</w:t>
      </w:r>
      <w:r>
        <w:rPr>
          <w:color w:val="231F20"/>
        </w:rPr>
        <w:t> </w:t>
      </w:r>
      <w:r>
        <w:rPr>
          <w:color w:val="231F20"/>
          <w:spacing w:val="13"/>
        </w:rPr>
        <w:t> </w:t>
      </w:r>
      <w:r>
        <w:rPr>
          <w:color w:val="231F20"/>
        </w:rPr>
        <w:t>der </w:t>
      </w:r>
      <w:r>
        <w:rPr>
          <w:color w:val="231F20"/>
          <w:spacing w:val="13"/>
        </w:rPr>
        <w:t> </w:t>
      </w:r>
      <w:r>
        <w:rPr>
          <w:color w:val="231F20"/>
        </w:rPr>
        <w:t>Gebäudehülle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kam</w:t>
      </w:r>
      <w:r>
        <w:rPr>
          <w:color w:val="231F20"/>
          <w:spacing w:val="-14"/>
        </w:rPr>
        <w:t> </w:t>
      </w:r>
      <w:r>
        <w:rPr>
          <w:color w:val="231F20"/>
        </w:rPr>
        <w:t>aus</w:t>
      </w:r>
      <w:r>
        <w:rPr>
          <w:color w:val="231F20"/>
          <w:spacing w:val="-14"/>
        </w:rPr>
        <w:t> </w:t>
      </w:r>
      <w:r>
        <w:rPr>
          <w:color w:val="231F20"/>
        </w:rPr>
        <w:t>finanziellen</w:t>
      </w:r>
      <w:r>
        <w:rPr>
          <w:color w:val="231F20"/>
          <w:spacing w:val="-14"/>
        </w:rPr>
        <w:t> </w:t>
      </w:r>
      <w:r>
        <w:rPr>
          <w:color w:val="231F20"/>
        </w:rPr>
        <w:t>Gründen</w:t>
      </w:r>
      <w:r>
        <w:rPr>
          <w:color w:val="231F20"/>
          <w:spacing w:val="-14"/>
        </w:rPr>
        <w:t> </w:t>
      </w:r>
      <w:r>
        <w:rPr>
          <w:color w:val="231F20"/>
        </w:rPr>
        <w:t>nicht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Frage.</w:t>
      </w:r>
      <w:r>
        <w:rPr/>
      </w:r>
    </w:p>
    <w:p>
      <w:pPr>
        <w:pStyle w:val="BodyText"/>
        <w:spacing w:line="230" w:lineRule="exact" w:before="52"/>
        <w:ind w:right="0"/>
        <w:jc w:val="left"/>
      </w:pPr>
      <w:r>
        <w:rPr/>
        <w:br w:type="column"/>
      </w:r>
      <w:r>
        <w:rPr>
          <w:color w:val="231F20"/>
          <w:spacing w:val="-1"/>
        </w:rPr>
        <w:t>könnte</w:t>
      </w:r>
      <w:r>
        <w:rPr>
          <w:color w:val="231F20"/>
          <w:spacing w:val="24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24"/>
        </w:rPr>
        <w:t> </w:t>
      </w:r>
      <w:r>
        <w:rPr>
          <w:color w:val="231F20"/>
        </w:rPr>
        <w:t>noch</w:t>
      </w:r>
      <w:r>
        <w:rPr>
          <w:color w:val="231F20"/>
          <w:spacing w:val="24"/>
        </w:rPr>
        <w:t> </w:t>
      </w:r>
      <w:r>
        <w:rPr>
          <w:color w:val="231F20"/>
        </w:rPr>
        <w:t>weiter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senkt</w:t>
      </w:r>
      <w:r>
        <w:rPr>
          <w:color w:val="231F20"/>
        </w:rPr>
        <w:t> </w:t>
      </w:r>
      <w:r>
        <w:rPr>
          <w:color w:val="231F20"/>
          <w:spacing w:val="-1"/>
        </w:rPr>
        <w:t>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monokristalline</w:t>
      </w:r>
      <w:r>
        <w:rPr>
          <w:color w:val="231F20"/>
          <w:spacing w:val="1"/>
        </w:rPr>
        <w:t> </w:t>
      </w:r>
      <w:r>
        <w:rPr>
          <w:color w:val="231F20"/>
        </w:rPr>
        <w:t>15</w:t>
      </w:r>
      <w:r>
        <w:rPr>
          <w:color w:val="231F20"/>
          <w:spacing w:val="1"/>
        </w:rPr>
        <w:t> </w:t>
      </w:r>
      <w:r>
        <w:rPr>
          <w:color w:val="231F20"/>
        </w:rPr>
        <w:t>kW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PV-An-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lage</w:t>
      </w:r>
      <w:r>
        <w:rPr>
          <w:color w:val="231F20"/>
          <w:spacing w:val="3"/>
        </w:rPr>
        <w:t> </w:t>
      </w:r>
      <w:r>
        <w:rPr>
          <w:color w:val="231F20"/>
        </w:rPr>
        <w:t>bedeckt</w:t>
      </w:r>
      <w:r>
        <w:rPr>
          <w:color w:val="231F20"/>
          <w:spacing w:val="3"/>
        </w:rPr>
        <w:t> </w:t>
      </w:r>
      <w:r>
        <w:rPr>
          <w:color w:val="231F20"/>
        </w:rPr>
        <w:t>ganzflächig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Nord-West-</w:t>
      </w:r>
      <w:r>
        <w:rPr>
          <w:color w:val="231F20"/>
          <w:spacing w:val="28"/>
        </w:rPr>
        <w:t> </w:t>
      </w:r>
      <w:r>
        <w:rPr>
          <w:color w:val="231F20"/>
        </w:rPr>
        <w:t>Seite</w:t>
      </w:r>
      <w:r>
        <w:rPr>
          <w:color w:val="231F20"/>
          <w:spacing w:val="22"/>
        </w:rPr>
        <w:t> </w:t>
      </w:r>
      <w:r>
        <w:rPr>
          <w:color w:val="231F20"/>
        </w:rPr>
        <w:t>des</w:t>
      </w:r>
      <w:r>
        <w:rPr>
          <w:color w:val="231F20"/>
          <w:spacing w:val="22"/>
        </w:rPr>
        <w:t> </w:t>
      </w:r>
      <w:r>
        <w:rPr>
          <w:color w:val="231F20"/>
        </w:rPr>
        <w:t>Daches</w:t>
      </w:r>
      <w:r>
        <w:rPr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2"/>
        </w:rPr>
        <w:t> </w:t>
      </w:r>
      <w:r>
        <w:rPr>
          <w:color w:val="231F20"/>
        </w:rPr>
        <w:t>etwa</w:t>
      </w:r>
      <w:r>
        <w:rPr>
          <w:color w:val="231F20"/>
          <w:spacing w:val="22"/>
        </w:rPr>
        <w:t> </w:t>
      </w:r>
      <w:r>
        <w:rPr>
          <w:color w:val="231F20"/>
        </w:rPr>
        <w:t>zur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Hälfte</w:t>
      </w:r>
      <w:r>
        <w:rPr>
          <w:color w:val="231F20"/>
          <w:spacing w:val="22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</w:rPr>
        <w:t>Süd-Ost</w:t>
      </w:r>
      <w:r>
        <w:rPr>
          <w:color w:val="231F20"/>
          <w:spacing w:val="18"/>
        </w:rPr>
        <w:t> </w:t>
      </w:r>
      <w:r>
        <w:rPr>
          <w:color w:val="231F20"/>
        </w:rPr>
        <w:t>Seite.</w:t>
      </w:r>
      <w:r>
        <w:rPr>
          <w:color w:val="231F20"/>
          <w:spacing w:val="7"/>
        </w:rPr>
        <w:t> </w:t>
      </w:r>
      <w:r>
        <w:rPr>
          <w:color w:val="231F20"/>
        </w:rPr>
        <w:t>Sie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18"/>
        </w:rPr>
        <w:t> </w:t>
      </w:r>
      <w:r>
        <w:rPr>
          <w:color w:val="231F20"/>
        </w:rPr>
        <w:t>rund</w:t>
      </w:r>
      <w:r>
        <w:rPr>
          <w:color w:val="231F20"/>
          <w:spacing w:val="18"/>
        </w:rPr>
        <w:t> </w:t>
      </w:r>
      <w:r>
        <w:rPr>
          <w:color w:val="231F20"/>
        </w:rPr>
        <w:t>13’400</w:t>
      </w:r>
      <w:r>
        <w:rPr/>
      </w:r>
    </w:p>
    <w:p>
      <w:pPr>
        <w:spacing w:before="87"/>
        <w:ind w:left="15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5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146" w:val="left" w:leader="none"/>
          <w:tab w:pos="1291" w:val="left" w:leader="none"/>
          <w:tab w:pos="2618" w:val="left" w:leader="none"/>
        </w:tabs>
        <w:spacing w:line="207" w:lineRule="auto" w:before="5"/>
        <w:ind w:left="157" w:right="3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1"/>
          <w:sz w:val="14"/>
        </w:rPr>
        <w:t>5/22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z w:val="14"/>
        </w:rPr>
        <w:t>U-Wert:</w:t>
      </w:r>
      <w:r>
        <w:rPr>
          <w:rFonts w:ascii="Theinhardt Regular"/>
          <w:color w:val="231F20"/>
          <w:spacing w:val="21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1.1/0.15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5"/>
          <w:sz w:val="14"/>
        </w:rPr>
        <w:t> </w:t>
      </w:r>
      <w:r>
        <w:rPr>
          <w:rFonts w:ascii="Theinhardt Regular"/>
          <w:color w:val="231F20"/>
          <w:sz w:val="14"/>
        </w:rPr>
        <w:t>Dach:</w:t>
        <w:tab/>
        <w:tab/>
      </w:r>
      <w:r>
        <w:rPr>
          <w:rFonts w:ascii="Theinhardt Regular"/>
          <w:color w:val="231F20"/>
          <w:spacing w:val="-1"/>
          <w:sz w:val="14"/>
        </w:rPr>
        <w:t>26</w:t>
      </w:r>
      <w:r>
        <w:rPr>
          <w:rFonts w:ascii="Theinhardt Regular"/>
          <w:color w:val="231F20"/>
          <w:sz w:val="14"/>
        </w:rPr>
        <w:t>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3"/>
          <w:sz w:val="14"/>
        </w:rPr>
        <w:t>0.14W/m</w:t>
      </w:r>
      <w:r>
        <w:rPr>
          <w:rFonts w:ascii="Theinhardt Regular"/>
          <w:color w:val="231F20"/>
          <w:spacing w:val="-3"/>
          <w:position w:val="5"/>
          <w:sz w:val="8"/>
        </w:rPr>
        <w:t>2</w:t>
      </w:r>
      <w:r>
        <w:rPr>
          <w:rFonts w:ascii="Theinhardt Regular"/>
          <w:color w:val="231F20"/>
          <w:spacing w:val="-3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89" w:val="left" w:leader="none"/>
          <w:tab w:pos="1371" w:val="left" w:leader="none"/>
          <w:tab w:pos="2643" w:val="left" w:leader="none"/>
        </w:tabs>
        <w:spacing w:line="207" w:lineRule="auto" w:before="0"/>
        <w:ind w:left="157" w:right="30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Boden</w:t>
        <w:tab/>
        <w:tab/>
      </w:r>
      <w:r>
        <w:rPr>
          <w:rFonts w:ascii="Theinhardt Regular"/>
          <w:color w:val="231F20"/>
          <w:sz w:val="14"/>
        </w:rPr>
        <w:t>6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1"/>
          <w:sz w:val="14"/>
        </w:rPr>
        <w:t>0.6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2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</w:r>
      <w:r>
        <w:rPr>
          <w:rFonts w:ascii="Theinhardt Regular"/>
          <w:color w:val="231F20"/>
          <w:spacing w:val="-3"/>
          <w:sz w:val="14"/>
        </w:rPr>
        <w:t>0.7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z w:val="14"/>
        </w:rPr>
        <w:t>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vor der Sanierung [100% | </w:t>
      </w:r>
      <w:r>
        <w:rPr>
          <w:rFonts w:ascii="Theinhardt Bold"/>
          <w:b/>
          <w:color w:val="231F20"/>
          <w:spacing w:val="-1"/>
          <w:sz w:val="14"/>
        </w:rPr>
        <w:t>190%]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580" w:right="900"/>
          <w:cols w:num="3" w:equalWidth="0">
            <w:col w:w="3513" w:space="58"/>
            <w:col w:w="3503" w:space="69"/>
            <w:col w:w="3627"/>
          </w:cols>
        </w:sectPr>
      </w:pPr>
    </w:p>
    <w:p>
      <w:pPr>
        <w:spacing w:line="130" w:lineRule="exact" w:before="0"/>
        <w:ind w:left="0" w:right="0" w:firstLine="0"/>
        <w:jc w:val="righ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100399pt;margin-top:4.732731pt;width:518.7pt;height:16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572"/>
                    <w:gridCol w:w="1351"/>
                    <w:gridCol w:w="883"/>
                    <w:gridCol w:w="434"/>
                    <w:gridCol w:w="620"/>
                  </w:tblGrid>
                  <w:tr>
                    <w:trPr>
                      <w:trHeight w:val="182" w:hRule="exact"/>
                    </w:trPr>
                    <w:tc>
                      <w:tcPr>
                        <w:tcW w:w="708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52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Daher</w:t>
                        </w:r>
                        <w:r>
                          <w:rPr>
                            <w:rFonts w:asci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entschieden</w:t>
                        </w:r>
                        <w:r>
                          <w:rPr>
                            <w:rFonts w:asci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sich</w:t>
                        </w:r>
                        <w:r>
                          <w:rPr>
                            <w:rFonts w:asci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Roland</w:t>
                        </w:r>
                        <w:r>
                          <w:rPr>
                            <w:rFonts w:asci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Barbara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kWh/a.</w:t>
                        </w:r>
                        <w:r>
                          <w:rPr>
                            <w:rFonts w:ascii="Theinhardt Regular"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sanierte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EFH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weist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somit</w:t>
                        </w:r>
                        <w:r>
                          <w:rPr>
                            <w:rFonts w:ascii="Theinhardt Regular"/>
                            <w:color w:val="231F20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eine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46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24.7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14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1" w:lineRule="exact" w:before="10"/>
                          <w:ind w:left="20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3’438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1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Bommeli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dazu,</w:t>
                        </w: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Dach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maximal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zu</w:t>
                        </w:r>
                        <w:r>
                          <w:rPr>
                            <w:rFonts w:ascii="Theinhardt Regular"/>
                            <w:color w:val="231F20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isolie-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Eigenenergieversorgung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von </w:t>
                        </w:r>
                        <w:r>
                          <w:rPr>
                            <w:rFonts w:ascii="Theinhardt Regular"/>
                            <w:color w:val="231F20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rund </w:t>
                        </w:r>
                        <w:r>
                          <w:rPr>
                            <w:rFonts w:ascii="Theinhardt Regular"/>
                            <w:color w:val="231F20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122%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1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40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7"/>
                            <w:sz w:val="14"/>
                          </w:rPr>
                          <w:t>111.2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4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74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13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4"/>
                            <w:sz w:val="14"/>
                            <w:szCs w:val="14"/>
                          </w:rPr>
                          <w:t>15’452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3"/>
          <w:sz w:val="14"/>
        </w:rPr>
        <w:t>139</w:t>
      </w:r>
      <w:r>
        <w:rPr>
          <w:rFonts w:ascii="Theinhardt Regular"/>
          <w:color w:val="231F20"/>
          <w:sz w:val="14"/>
        </w:rPr>
        <w:t>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487" w:val="left" w:leader="none"/>
          <w:tab w:pos="1918" w:val="left" w:leader="none"/>
        </w:tabs>
        <w:spacing w:line="130" w:lineRule="exact" w:before="0"/>
        <w:ind w:left="61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580" w:right="900"/>
          <w:cols w:num="2" w:equalWidth="0">
            <w:col w:w="8065" w:space="40"/>
            <w:col w:w="2665"/>
          </w:cols>
        </w:sectPr>
      </w:pP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after="0" w:line="240" w:lineRule="auto"/>
        <w:rPr>
          <w:rFonts w:ascii="Theinhardt Regular" w:hAnsi="Theinhardt Regular" w:cs="Theinhardt Regular" w:eastAsia="Theinhardt Regular"/>
          <w:sz w:val="17"/>
          <w:szCs w:val="17"/>
        </w:rPr>
        <w:sectPr>
          <w:type w:val="continuous"/>
          <w:pgSz w:w="12250" w:h="17180"/>
          <w:pgMar w:top="1040" w:bottom="280" w:left="580" w:right="900"/>
        </w:sectPr>
      </w:pPr>
    </w:p>
    <w:p>
      <w:pPr>
        <w:pStyle w:val="BodyText"/>
        <w:spacing w:line="230" w:lineRule="exact" w:before="104"/>
        <w:ind w:right="0"/>
        <w:jc w:val="right"/>
      </w:pPr>
      <w:r>
        <w:rPr>
          <w:color w:val="231F20"/>
          <w:spacing w:val="-2"/>
        </w:rPr>
        <w:t>ren</w:t>
      </w:r>
      <w:r>
        <w:rPr>
          <w:color w:val="231F20"/>
          <w:spacing w:val="21"/>
        </w:rPr>
        <w:t> </w:t>
      </w:r>
      <w:r>
        <w:rPr>
          <w:color w:val="231F20"/>
        </w:rPr>
        <w:t>und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grossflächig</w:t>
      </w:r>
      <w:r>
        <w:rPr>
          <w:color w:val="231F20"/>
          <w:spacing w:val="21"/>
        </w:rPr>
        <w:t> </w:t>
      </w:r>
      <w:r>
        <w:rPr>
          <w:color w:val="231F20"/>
        </w:rPr>
        <w:t>mit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Solarpaneelen</w:t>
      </w:r>
      <w:r>
        <w:rPr>
          <w:color w:val="231F20"/>
          <w:spacing w:val="21"/>
        </w:rPr>
        <w:t> </w:t>
      </w:r>
      <w:r>
        <w:rPr>
          <w:color w:val="231F20"/>
        </w:rPr>
        <w:t>zu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bedecken.</w:t>
      </w:r>
      <w:r>
        <w:rPr>
          <w:color w:val="231F20"/>
          <w:spacing w:val="14"/>
        </w:rPr>
        <w:t> </w:t>
      </w:r>
      <w:r>
        <w:rPr>
          <w:color w:val="231F20"/>
        </w:rPr>
        <w:t>Auch</w:t>
      </w:r>
      <w:r>
        <w:rPr>
          <w:color w:val="231F20"/>
          <w:spacing w:val="25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Aussenfassade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teilweise</w:t>
      </w:r>
      <w:r>
        <w:rPr>
          <w:color w:val="231F20"/>
          <w:spacing w:val="5"/>
        </w:rPr>
        <w:t> </w:t>
      </w:r>
      <w:r>
        <w:rPr>
          <w:color w:val="231F20"/>
        </w:rPr>
        <w:t>gedämmt.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Dachdämmung</w:t>
      </w:r>
      <w:r>
        <w:rPr>
          <w:color w:val="231F20"/>
          <w:spacing w:val="5"/>
        </w:rPr>
        <w:t> </w:t>
      </w:r>
      <w:r>
        <w:rPr>
          <w:color w:val="231F20"/>
        </w:rPr>
        <w:t>be-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trägt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Sanierung</w:t>
      </w:r>
      <w:r>
        <w:rPr>
          <w:color w:val="231F20"/>
          <w:spacing w:val="-9"/>
        </w:rPr>
        <w:t> </w:t>
      </w:r>
      <w:r>
        <w:rPr>
          <w:color w:val="231F20"/>
        </w:rPr>
        <w:t>26</w:t>
      </w:r>
      <w:r>
        <w:rPr>
          <w:color w:val="231F20"/>
          <w:spacing w:val="-9"/>
        </w:rPr>
        <w:t> </w:t>
      </w:r>
      <w:r>
        <w:rPr>
          <w:color w:val="231F20"/>
        </w:rPr>
        <w:t>cm.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Zusammen</w:t>
      </w:r>
      <w:r>
        <w:rPr>
          <w:color w:val="231F20"/>
          <w:spacing w:val="27"/>
        </w:rPr>
        <w:t> </w:t>
      </w:r>
      <w:r>
        <w:rPr>
          <w:color w:val="231F20"/>
        </w:rPr>
        <w:t>mit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LED-Lampen</w:t>
      </w:r>
      <w:r>
        <w:rPr>
          <w:color w:val="231F20"/>
          <w:spacing w:val="37"/>
        </w:rPr>
        <w:t> </w:t>
      </w:r>
      <w:r>
        <w:rPr>
          <w:color w:val="231F20"/>
        </w:rPr>
        <w:t>und</w:t>
      </w:r>
      <w:r>
        <w:rPr>
          <w:color w:val="231F20"/>
          <w:spacing w:val="36"/>
        </w:rPr>
        <w:t> </w:t>
      </w:r>
      <w:r>
        <w:rPr>
          <w:color w:val="231F20"/>
        </w:rPr>
        <w:t>einer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Wärmepumpe</w:t>
      </w:r>
      <w:r>
        <w:rPr>
          <w:color w:val="231F20"/>
          <w:spacing w:val="25"/>
        </w:rPr>
        <w:t> </w:t>
      </w:r>
      <w:r>
        <w:rPr>
          <w:color w:val="231F20"/>
        </w:rPr>
        <w:t>für</w:t>
      </w:r>
      <w:r>
        <w:rPr>
          <w:color w:val="231F20"/>
          <w:spacing w:val="41"/>
        </w:rPr>
        <w:t> </w:t>
      </w:r>
      <w:r>
        <w:rPr>
          <w:color w:val="231F20"/>
        </w:rPr>
        <w:t>Heizung</w:t>
      </w:r>
      <w:r>
        <w:rPr>
          <w:color w:val="231F20"/>
          <w:spacing w:val="42"/>
        </w:rPr>
        <w:t> </w:t>
      </w:r>
      <w:r>
        <w:rPr>
          <w:color w:val="231F20"/>
        </w:rPr>
        <w:t>und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Warmwasser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konnte</w:t>
      </w:r>
      <w:r>
        <w:rPr>
          <w:color w:val="231F20"/>
          <w:spacing w:val="42"/>
        </w:rPr>
        <w:t> </w:t>
      </w:r>
      <w:r>
        <w:rPr>
          <w:color w:val="231F20"/>
        </w:rPr>
        <w:t>der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Gesamtenergiebedarf</w:t>
      </w:r>
      <w:r>
        <w:rPr>
          <w:color w:val="231F20"/>
        </w:rPr>
        <w:t> fast halbiert </w:t>
      </w:r>
      <w:r>
        <w:rPr>
          <w:color w:val="231F20"/>
          <w:spacing w:val="-1"/>
        </w:rPr>
        <w:t>werden.</w:t>
      </w:r>
      <w:r>
        <w:rPr>
          <w:color w:val="231F20"/>
          <w:spacing w:val="48"/>
        </w:rPr>
        <w:t> </w:t>
      </w:r>
      <w:r>
        <w:rPr>
          <w:color w:val="231F20"/>
        </w:rPr>
        <w:t>Neu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konsumiert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Einfamilienhaus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</w:t>
      </w:r>
      <w:r>
        <w:rPr>
          <w:color w:val="231F20"/>
          <w:spacing w:val="26"/>
        </w:rPr>
        <w:t> </w:t>
      </w:r>
      <w:r>
        <w:rPr>
          <w:color w:val="231F20"/>
        </w:rPr>
        <w:t>rund </w:t>
      </w:r>
      <w:r>
        <w:rPr>
          <w:color w:val="231F20"/>
          <w:spacing w:val="11"/>
        </w:rPr>
        <w:t> </w:t>
      </w:r>
      <w:r>
        <w:rPr>
          <w:color w:val="231F20"/>
        </w:rPr>
        <w:t>11’000 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</w:rPr>
        <w:t>Mit </w:t>
      </w:r>
      <w:r>
        <w:rPr>
          <w:color w:val="231F20"/>
          <w:spacing w:val="12"/>
        </w:rPr>
        <w:t> </w:t>
      </w:r>
      <w:r>
        <w:rPr>
          <w:color w:val="231F20"/>
        </w:rPr>
        <w:t>einer 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besseren</w:t>
      </w:r>
      <w:r>
        <w:rPr>
          <w:color w:val="231F20"/>
          <w:spacing w:val="25"/>
        </w:rPr>
        <w:t> </w:t>
      </w:r>
      <w:r>
        <w:rPr>
          <w:color w:val="231F20"/>
        </w:rPr>
        <w:t>Dämmung </w:t>
      </w:r>
      <w:r>
        <w:rPr>
          <w:color w:val="231F20"/>
          <w:spacing w:val="22"/>
        </w:rPr>
        <w:t> </w:t>
      </w:r>
      <w:r>
        <w:rPr>
          <w:color w:val="231F20"/>
        </w:rPr>
        <w:t>der 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Wände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</w:rPr>
        <w:t>und </w:t>
      </w:r>
      <w:r>
        <w:rPr>
          <w:color w:val="231F20"/>
          <w:spacing w:val="22"/>
        </w:rPr>
        <w:t> </w:t>
      </w:r>
      <w:r>
        <w:rPr>
          <w:color w:val="231F20"/>
        </w:rPr>
        <w:t>des </w:t>
      </w:r>
      <w:r>
        <w:rPr>
          <w:color w:val="231F20"/>
          <w:spacing w:val="22"/>
        </w:rPr>
        <w:t> </w:t>
      </w:r>
      <w:r>
        <w:rPr>
          <w:color w:val="231F20"/>
        </w:rPr>
        <w:t>Bodens</w:t>
      </w:r>
      <w:r>
        <w:rPr/>
      </w:r>
    </w:p>
    <w:p>
      <w:pPr>
        <w:pStyle w:val="BodyText"/>
        <w:spacing w:line="230" w:lineRule="exact" w:before="104"/>
        <w:ind w:right="0"/>
        <w:jc w:val="left"/>
      </w:pPr>
      <w:r>
        <w:rPr/>
        <w:br w:type="column"/>
      </w:r>
      <w:r>
        <w:rPr>
          <w:color w:val="231F20"/>
        </w:rPr>
        <w:t>auf </w:t>
      </w:r>
      <w:r>
        <w:rPr>
          <w:color w:val="231F20"/>
          <w:spacing w:val="3"/>
        </w:rPr>
        <w:t> </w:t>
      </w:r>
      <w:r>
        <w:rPr>
          <w:color w:val="231F20"/>
        </w:rPr>
        <w:t>und </w:t>
      </w:r>
      <w:r>
        <w:rPr>
          <w:color w:val="231F20"/>
          <w:spacing w:val="3"/>
        </w:rPr>
        <w:t> </w:t>
      </w:r>
      <w:r>
        <w:rPr>
          <w:color w:val="231F20"/>
        </w:rPr>
        <w:t>einen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</w:rPr>
        <w:t>von</w:t>
      </w:r>
      <w:r>
        <w:rPr>
          <w:color w:val="231F20"/>
          <w:spacing w:val="21"/>
        </w:rPr>
        <w:t> </w:t>
      </w:r>
      <w:r>
        <w:rPr>
          <w:color w:val="231F20"/>
        </w:rPr>
        <w:t>rund 2’400 </w:t>
      </w:r>
      <w:r>
        <w:rPr>
          <w:color w:val="231F20"/>
          <w:spacing w:val="-2"/>
        </w:rPr>
        <w:t>kWh/a.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Einfamilienhaus</w:t>
      </w:r>
      <w:r>
        <w:rPr>
          <w:color w:val="231F20"/>
          <w:spacing w:val="-11"/>
        </w:rPr>
        <w:t> </w:t>
      </w:r>
      <w:r>
        <w:rPr>
          <w:color w:val="231F20"/>
        </w:rPr>
        <w:t>Bommeli</w:t>
      </w:r>
      <w:r>
        <w:rPr>
          <w:color w:val="231F20"/>
          <w:spacing w:val="-11"/>
        </w:rPr>
        <w:t> </w:t>
      </w:r>
      <w:r>
        <w:rPr>
          <w:color w:val="231F20"/>
        </w:rPr>
        <w:t>zeigt,</w:t>
      </w:r>
      <w:r>
        <w:rPr>
          <w:color w:val="231F20"/>
          <w:spacing w:val="-22"/>
        </w:rPr>
        <w:t> </w:t>
      </w:r>
      <w:r>
        <w:rPr>
          <w:color w:val="231F20"/>
        </w:rPr>
        <w:t>dass</w:t>
      </w:r>
      <w:r>
        <w:rPr>
          <w:color w:val="231F20"/>
          <w:spacing w:val="26"/>
        </w:rPr>
        <w:t> </w:t>
      </w:r>
      <w:r>
        <w:rPr>
          <w:color w:val="231F20"/>
        </w:rPr>
        <w:t>auch</w:t>
      </w:r>
      <w:r>
        <w:rPr>
          <w:color w:val="231F20"/>
          <w:spacing w:val="24"/>
        </w:rPr>
        <w:t> </w:t>
      </w:r>
      <w:r>
        <w:rPr>
          <w:color w:val="231F20"/>
        </w:rPr>
        <w:t>mit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beschränkten</w:t>
      </w:r>
      <w:r>
        <w:rPr>
          <w:color w:val="231F20"/>
          <w:spacing w:val="24"/>
        </w:rPr>
        <w:t> </w:t>
      </w:r>
      <w:r>
        <w:rPr>
          <w:color w:val="231F20"/>
        </w:rPr>
        <w:t>finanziellen</w:t>
      </w:r>
      <w:r>
        <w:rPr>
          <w:color w:val="231F20"/>
          <w:spacing w:val="25"/>
        </w:rPr>
        <w:t> </w:t>
      </w:r>
      <w:r>
        <w:rPr>
          <w:color w:val="231F20"/>
        </w:rPr>
        <w:t>Mitteln</w:t>
      </w:r>
      <w:r>
        <w:rPr>
          <w:color w:val="231F20"/>
          <w:spacing w:val="29"/>
        </w:rPr>
        <w:t> </w:t>
      </w:r>
      <w:r>
        <w:rPr>
          <w:color w:val="231F20"/>
        </w:rPr>
        <w:t>aus</w:t>
      </w:r>
      <w:r>
        <w:rPr>
          <w:color w:val="231F20"/>
          <w:spacing w:val="1"/>
        </w:rPr>
        <w:t> </w:t>
      </w:r>
      <w:r>
        <w:rPr>
          <w:color w:val="231F20"/>
        </w:rPr>
        <w:t>einem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energieverschlingenden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1"/>
        </w:rPr>
        <w:t> </w:t>
      </w:r>
      <w:r>
        <w:rPr>
          <w:color w:val="231F20"/>
        </w:rPr>
        <w:t>ein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8"/>
        </w:rPr>
        <w:t> </w:t>
      </w:r>
      <w:r>
        <w:rPr>
          <w:color w:val="231F20"/>
        </w:rPr>
        <w:t>entstehen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kann.</w:t>
      </w:r>
      <w:r>
        <w:rPr>
          <w:color w:val="231F20"/>
          <w:spacing w:val="-2"/>
        </w:rPr>
        <w:t> </w:t>
      </w:r>
      <w:r>
        <w:rPr>
          <w:color w:val="231F20"/>
        </w:rPr>
        <w:t>Dafür</w:t>
      </w:r>
      <w:r>
        <w:rPr>
          <w:color w:val="231F20"/>
          <w:spacing w:val="8"/>
        </w:rPr>
        <w:t> </w:t>
      </w:r>
      <w:r>
        <w:rPr>
          <w:color w:val="231F20"/>
        </w:rPr>
        <w:t>ver-</w:t>
      </w:r>
      <w:r>
        <w:rPr>
          <w:color w:val="231F20"/>
          <w:spacing w:val="38"/>
        </w:rPr>
        <w:t> </w:t>
      </w:r>
      <w:r>
        <w:rPr>
          <w:color w:val="231F20"/>
        </w:rPr>
        <w:t>dient es das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2018.</w:t>
      </w:r>
      <w:r>
        <w:rPr/>
      </w:r>
    </w:p>
    <w:p>
      <w:pPr>
        <w:tabs>
          <w:tab w:pos="1867" w:val="left" w:leader="none"/>
          <w:tab w:pos="2416" w:val="left" w:leader="none"/>
          <w:tab w:pos="2904" w:val="left" w:leader="none"/>
        </w:tabs>
        <w:spacing w:line="172" w:lineRule="exact"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14.7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2’038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64" w:val="left" w:leader="none"/>
          <w:tab w:pos="2810" w:val="left" w:leader="none"/>
        </w:tabs>
        <w:spacing w:line="172" w:lineRule="exact" w:before="0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150.6    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20’928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2"/>
        <w:ind w:left="15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 nach der Sanierung [53% | </w:t>
      </w:r>
      <w:r>
        <w:rPr>
          <w:rFonts w:ascii="Theinhardt Bold"/>
          <w:b/>
          <w:color w:val="231F20"/>
          <w:spacing w:val="-1"/>
          <w:sz w:val="14"/>
        </w:rPr>
        <w:t>100%]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756"/>
        <w:gridCol w:w="483"/>
        <w:gridCol w:w="616"/>
      </w:tblGrid>
      <w:tr>
        <w:trPr>
          <w:trHeight w:val="128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139m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0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16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10.2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2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7"/>
                <w:sz w:val="14"/>
                <w:szCs w:val="14"/>
              </w:rPr>
              <w:t>1’415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Heizung: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7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38.4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5’335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8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30.7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4’269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344" w:hRule="exact"/>
        </w:trPr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48" w:lineRule="exact" w:before="32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6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79.3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9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3"/>
                <w:sz w:val="14"/>
                <w:szCs w:val="14"/>
              </w:rPr>
              <w:t>11’019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1776" w:val="left" w:leader="none"/>
          <w:tab w:pos="2357" w:val="left" w:leader="none"/>
          <w:tab w:pos="2468" w:val="left" w:leader="none"/>
          <w:tab w:pos="2836" w:val="left" w:leader="none"/>
        </w:tabs>
        <w:spacing w:line="160" w:lineRule="exact" w:before="20"/>
        <w:ind w:left="157" w:right="3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391.265686pt;margin-top:19.118382pt;width:161.5pt;height:34.7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9"/>
                    <w:gridCol w:w="618"/>
                    <w:gridCol w:w="622"/>
                  </w:tblGrid>
                  <w:tr>
                    <w:trPr>
                      <w:trHeight w:val="188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6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Energiebilanz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6"/>
                          <w:ind w:left="37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6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5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122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12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1"/>
                            <w:sz w:val="14"/>
                            <w:szCs w:val="14"/>
                          </w:rPr>
                          <w:t>13’391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Gesamtenergiebedarf: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2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14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4"/>
                            <w:szCs w:val="14"/>
                          </w:rPr>
                          <w:t>11’019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Solarstromüberschuss: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337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2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2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8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2’372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  </w:t>
      </w:r>
      <w:r>
        <w:rPr>
          <w:rFonts w:ascii="Theinhardt Regular" w:hAnsi="Theinhardt Regular" w:cs="Theinhardt Regular" w:eastAsia="Theinhardt Regular"/>
          <w:color w:val="231F20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color w:val="231F20"/>
          <w:spacing w:val="3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88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15.0</w:t>
        <w:tab/>
        <w:t>152.2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w w:val="95"/>
          <w:sz w:val="14"/>
          <w:szCs w:val="14"/>
        </w:rPr>
        <w:t>122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13’391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580" w:right="900"/>
          <w:cols w:num="3" w:equalWidth="0">
            <w:col w:w="3503" w:space="69"/>
            <w:col w:w="3503" w:space="69"/>
            <w:col w:w="3626"/>
          </w:cols>
        </w:sect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line="172" w:lineRule="exact" w:before="70"/>
        <w:ind w:left="0" w:right="882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 style="position:absolute;margin-left:36.851002pt;margin-top:10.187209pt;width:345.827pt;height:241.264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NetZulg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pacing w:val="-1"/>
          <w:sz w:val="14"/>
        </w:rPr>
        <w:t>am13.06.2018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73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4"/>
          <w:sz w:val="14"/>
        </w:rPr>
        <w:t>T.</w:t>
      </w:r>
      <w:r>
        <w:rPr>
          <w:rFonts w:ascii="Theinhardt Regular"/>
          <w:color w:val="231F20"/>
          <w:sz w:val="14"/>
        </w:rPr>
        <w:t> Gander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info@netzulg.ch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0" w:right="2089" w:firstLine="0"/>
        <w:jc w:val="righ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73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7300" w:right="6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Barbara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Roland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Bommeli-Girod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Hombergstrasse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27,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3612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Steffi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burg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0" w:right="434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437 </w:t>
      </w:r>
      <w:r>
        <w:rPr>
          <w:rFonts w:ascii="Theinhardt Regular"/>
          <w:color w:val="231F20"/>
          <w:spacing w:val="1"/>
          <w:sz w:val="14"/>
        </w:rPr>
        <w:t>04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48</w:t>
      </w:r>
      <w:hyperlink r:id="rId8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roland.bommeli@bluewin.ch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0" w:right="932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Dachsanierung,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0" w:right="782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Holzimpuls,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Mittlere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74,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3600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Thun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73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223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50</w:t>
      </w:r>
      <w:hyperlink r:id="rId9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www.holzimpuls.ch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0" w:right="1508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w w:val="95"/>
          <w:sz w:val="14"/>
        </w:rPr>
        <w:t>PEB-Beratung/GEAK-Experte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0" w:right="708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Aaac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Alleestrasse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3613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Steffisburg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0" w:right="771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27</w:t>
      </w:r>
      <w:hyperlink r:id="rId10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www.archtektur-aac.ch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0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"/>
        <w:rPr>
          <w:rFonts w:ascii="Theinhardt Regular" w:hAnsi="Theinhardt Regular" w:cs="Theinhardt Regular" w:eastAsia="Theinhardt Regular"/>
          <w:sz w:val="4"/>
          <w:szCs w:val="4"/>
        </w:rPr>
      </w:pPr>
    </w:p>
    <w:p>
      <w:pPr>
        <w:spacing w:line="200" w:lineRule="atLeast"/>
        <w:ind w:left="730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4893" cy="1487424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893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00" w:val="left" w:leader="none"/>
        </w:tabs>
        <w:spacing w:before="11"/>
        <w:ind w:left="16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40" w:bottom="280" w:left="580" w:right="900"/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0"/>
        <w:ind w:left="383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Seit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Sanierung </w:t>
      </w:r>
      <w:r>
        <w:rPr>
          <w:rFonts w:ascii="Theinhardt Bold"/>
          <w:b/>
          <w:color w:val="231F20"/>
          <w:spacing w:val="-1"/>
          <w:sz w:val="14"/>
        </w:rPr>
        <w:t>konsumiert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PlusEnergie-</w:t>
      </w:r>
      <w:r>
        <w:rPr>
          <w:rFonts w:ascii="Theinhardt Bold"/>
          <w:b/>
          <w:color w:val="231F20"/>
          <w:spacing w:val="49"/>
          <w:sz w:val="14"/>
        </w:rPr>
        <w:t> </w:t>
      </w:r>
      <w:r>
        <w:rPr>
          <w:rFonts w:ascii="Theinhardt Bold"/>
          <w:b/>
          <w:color w:val="231F20"/>
          <w:sz w:val="14"/>
        </w:rPr>
        <w:t>Bau nur noch halb so viel </w:t>
      </w:r>
      <w:r>
        <w:rPr>
          <w:rFonts w:ascii="Theinhardt Bold"/>
          <w:b/>
          <w:color w:val="231F20"/>
          <w:spacing w:val="-1"/>
          <w:sz w:val="14"/>
        </w:rPr>
        <w:t>Energie.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6"/>
          <w:szCs w:val="16"/>
        </w:rPr>
      </w:pPr>
      <w:r>
        <w:rPr/>
        <w:br w:type="column"/>
      </w:r>
      <w:r>
        <w:rPr>
          <w:rFonts w:ascii="Theinhardt Bold"/>
          <w:b/>
          <w:sz w:val="16"/>
        </w:rPr>
      </w:r>
    </w:p>
    <w:p>
      <w:pPr>
        <w:numPr>
          <w:ilvl w:val="0"/>
          <w:numId w:val="1"/>
        </w:numPr>
        <w:tabs>
          <w:tab w:pos="384" w:val="left" w:leader="none"/>
        </w:tabs>
        <w:spacing w:line="160" w:lineRule="exact" w:before="0"/>
        <w:ind w:left="383" w:right="3801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15 kW </w:t>
      </w:r>
      <w:r>
        <w:rPr>
          <w:rFonts w:ascii="Theinhardt Bold" w:hAnsi="Theinhardt Bold"/>
          <w:b/>
          <w:color w:val="231F20"/>
          <w:spacing w:val="-1"/>
          <w:sz w:val="14"/>
        </w:rPr>
        <w:t>starke </w:t>
      </w:r>
      <w:r>
        <w:rPr>
          <w:rFonts w:ascii="Theinhardt Bold" w:hAnsi="Theinhardt Bold"/>
          <w:b/>
          <w:color w:val="231F20"/>
          <w:sz w:val="14"/>
        </w:rPr>
        <w:t>PV-Anlage bedeckt ganzflä-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chig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Nord-West-Seite</w:t>
      </w:r>
      <w:r>
        <w:rPr>
          <w:rFonts w:ascii="Theinhardt Bold" w:hAnsi="Theinhardt Bold"/>
          <w:b/>
          <w:color w:val="231F20"/>
          <w:sz w:val="14"/>
        </w:rPr>
        <w:t> des Daches und etwa</w:t>
      </w:r>
      <w:r>
        <w:rPr>
          <w:rFonts w:ascii="Theinhardt Bold" w:hAnsi="Theinhardt Bold"/>
          <w:b/>
          <w:color w:val="231F20"/>
          <w:spacing w:val="3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zur Hälfte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> Süd-Ost-Seite.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580" w:right="900"/>
          <w:cols w:num="2" w:equalWidth="0">
            <w:col w:w="3446" w:space="126"/>
            <w:col w:w="719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5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40" w:bottom="280" w:left="5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8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nfo@netzulg.ch" TargetMode="External"/><Relationship Id="rId8" Type="http://schemas.openxmlformats.org/officeDocument/2006/relationships/hyperlink" Target="mailto:roland.bommeli@bluewin.ch" TargetMode="External"/><Relationship Id="rId9" Type="http://schemas.openxmlformats.org/officeDocument/2006/relationships/hyperlink" Target="http://www.holzimpuls.ch/" TargetMode="External"/><Relationship Id="rId10" Type="http://schemas.openxmlformats.org/officeDocument/2006/relationships/hyperlink" Target="http://www.archtektur-aac.ch/" TargetMode="External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2018-10-02T10:05:22Z</dcterms:created>
  <dcterms:modified xsi:type="dcterms:W3CDTF">2018-10-02T10:05:22Z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