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2556" w:val="left" w:leader="none"/>
        </w:tabs>
        <w:spacing w:line="230" w:lineRule="exact" w:before="38"/>
        <w:ind w:left="117" w:right="0" w:firstLine="0"/>
        <w:jc w:val="both"/>
        <w:rPr>
          <w:rFonts w:ascii="Theinhardt Regular" w:hAnsi="Theinhardt Regular" w:cs="Theinhardt Regular" w:eastAsia="Theinhardt Regular"/>
          <w:sz w:val="18"/>
          <w:szCs w:val="18"/>
        </w:rPr>
      </w:pPr>
      <w:r>
        <w:rPr/>
        <w:pict>
          <v:group style="position:absolute;margin-left:37.063pt;margin-top:14.14717pt;width:.1pt;height:.1pt;mso-position-horizontal-relative:page;mso-position-vertical-relative:paragraph;z-index:-5800" coordorigin="741,283" coordsize="2,2">
            <v:shape style="position:absolute;left:741;top:283;width:2;height:2" coordorigin="741,283" coordsize="0,0" path="m741,283l741,28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159.235992pt;margin-top:14.14717pt;width:.1pt;height:.1pt;mso-position-horizontal-relative:page;mso-position-vertical-relative:paragraph;z-index:1144" coordorigin="3185,283" coordsize="2,2">
            <v:shape style="position:absolute;left:3185;top:283;width:2;height:2" coordorigin="3185,283" coordsize="0,0" path="m3185,283l3185,28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37.063pt;margin-top:25.647171pt;width:.1pt;height:.1pt;mso-position-horizontal-relative:page;mso-position-vertical-relative:paragraph;z-index:-5752" coordorigin="741,513" coordsize="2,2">
            <v:shape style="position:absolute;left:741;top:513;width:2;height:2" coordorigin="741,513" coordsize="0,0" path="m741,513l741,51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159.235992pt;margin-top:25.647171pt;width:.1pt;height:.1pt;mso-position-horizontal-relative:page;mso-position-vertical-relative:paragraph;z-index:1192" coordorigin="3185,513" coordsize="2,2">
            <v:shape style="position:absolute;left:3185;top:513;width:2;height:2" coordorigin="3185,513" coordsize="0,0" path="m3185,513l3185,51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shape style="position:absolute;margin-left:36.850410pt;margin-top:53.884613pt;width:64.692734pt;height:26.111229pt;mso-position-horizontal-relative:page;mso-position-vertical-relative:paragraph;z-index:1216" type="#_x0000_t75" stroked="false">
            <v:imagedata r:id="rId5" o:title=""/>
          </v:shape>
        </w:pict>
      </w:r>
      <w:r>
        <w:rPr>
          <w:rFonts w:ascii="Theinhardt Black" w:hAnsi="Theinhardt Black"/>
          <w:b/>
          <w:color w:val="231F20"/>
          <w:sz w:val="18"/>
        </w:rPr>
      </w:r>
      <w:r>
        <w:rPr>
          <w:rFonts w:ascii="Theinhardt Black" w:hAnsi="Theinhardt Black"/>
          <w:b/>
          <w:color w:val="231F20"/>
          <w:spacing w:val="1"/>
          <w:sz w:val="18"/>
          <w:u w:val="dotted" w:color="231F20"/>
        </w:rPr>
        <w:t>Kategorie</w:t>
      </w:r>
      <w:r>
        <w:rPr>
          <w:rFonts w:ascii="Theinhardt Black" w:hAnsi="Theinhardt Black"/>
          <w:b/>
          <w:color w:val="231F20"/>
          <w:sz w:val="18"/>
          <w:u w:val="dotted" w:color="231F20"/>
        </w:rPr>
        <w:t>               </w:t>
      </w:r>
      <w:r>
        <w:rPr>
          <w:rFonts w:ascii="Theinhardt Black" w:hAnsi="Theinhardt Black"/>
          <w:b/>
          <w:color w:val="231F20"/>
          <w:spacing w:val="16"/>
          <w:sz w:val="18"/>
          <w:u w:val="dotted" w:color="231F20"/>
        </w:rPr>
        <w:t> </w:t>
      </w:r>
      <w:r>
        <w:rPr>
          <w:rFonts w:ascii="Theinhardt Black" w:hAnsi="Theinhardt Black"/>
          <w:b/>
          <w:color w:val="231F20"/>
          <w:sz w:val="18"/>
          <w:u w:val="dotted" w:color="231F20"/>
        </w:rPr>
        <w:t>B</w:t>
      </w:r>
      <w:r>
        <w:rPr>
          <w:rFonts w:ascii="Theinhardt Black" w:hAnsi="Theinhardt Black"/>
          <w:b/>
          <w:color w:val="231F20"/>
          <w:sz w:val="18"/>
          <w:u w:val="dotted" w:color="231F20"/>
        </w:rPr>
        <w:t> </w:t>
        <w:tab/>
      </w:r>
      <w:r>
        <w:rPr>
          <w:rFonts w:ascii="Theinhardt Black" w:hAnsi="Theinhardt Black"/>
          <w:b/>
          <w:color w:val="231F20"/>
          <w:sz w:val="18"/>
        </w:rPr>
      </w:r>
      <w:r>
        <w:rPr>
          <w:rFonts w:ascii="Theinhardt Black" w:hAnsi="Theinhardt Black"/>
          <w:b/>
          <w:color w:val="231F20"/>
          <w:spacing w:val="25"/>
          <w:sz w:val="18"/>
        </w:rPr>
        <w:t> </w:t>
      </w:r>
      <w:r>
        <w:rPr>
          <w:rFonts w:ascii="Theinhardt Black" w:hAnsi="Theinhardt Black"/>
          <w:b/>
          <w:color w:val="231F20"/>
          <w:w w:val="95"/>
          <w:sz w:val="18"/>
          <w:u w:val="dotted" w:color="231F20"/>
        </w:rPr>
        <w:t>Gebäude: </w:t>
      </w:r>
      <w:r>
        <w:rPr>
          <w:rFonts w:ascii="Theinhardt Black" w:hAnsi="Theinhardt Black"/>
          <w:b/>
          <w:color w:val="231F20"/>
          <w:spacing w:val="4"/>
          <w:w w:val="95"/>
          <w:sz w:val="18"/>
          <w:u w:val="dotted" w:color="231F20"/>
        </w:rPr>
        <w:t> </w:t>
      </w:r>
      <w:r>
        <w:rPr>
          <w:rFonts w:ascii="Theinhardt Black" w:hAnsi="Theinhardt Black"/>
          <w:b/>
          <w:color w:val="231F20"/>
          <w:sz w:val="18"/>
          <w:u w:val="dotted" w:color="231F20"/>
        </w:rPr>
        <w:t>Sanierungen</w:t>
      </w:r>
      <w:r>
        <w:rPr>
          <w:rFonts w:ascii="Theinhardt Black" w:hAnsi="Theinhardt Black"/>
          <w:b/>
          <w:color w:val="231F20"/>
          <w:sz w:val="18"/>
          <w:u w:val="dotted" w:color="231F20"/>
        </w:rPr>
        <w:t>          </w:t>
      </w:r>
      <w:r>
        <w:rPr>
          <w:rFonts w:ascii="Theinhardt Black" w:hAnsi="Theinhardt Black"/>
          <w:b/>
          <w:color w:val="231F20"/>
          <w:spacing w:val="-6"/>
          <w:sz w:val="18"/>
          <w:u w:val="dotted" w:color="231F20"/>
        </w:rPr>
        <w:t> </w:t>
      </w:r>
      <w:r>
        <w:rPr>
          <w:rFonts w:ascii="Theinhardt Black" w:hAnsi="Theinhardt Black"/>
          <w:b/>
          <w:color w:val="231F20"/>
          <w:spacing w:val="-6"/>
          <w:sz w:val="18"/>
        </w:rPr>
      </w:r>
      <w:r>
        <w:rPr>
          <w:rFonts w:ascii="Theinhardt Black" w:hAnsi="Theinhardt Black"/>
          <w:b/>
          <w:color w:val="231F20"/>
          <w:spacing w:val="16"/>
          <w:sz w:val="18"/>
        </w:rPr>
        <w:t> </w:t>
      </w:r>
      <w:r>
        <w:rPr>
          <w:rFonts w:ascii="Theinhardt Regular" w:hAnsi="Theinhardt Regular"/>
          <w:color w:val="231F20"/>
          <w:spacing w:val="-2"/>
          <w:sz w:val="18"/>
        </w:rPr>
        <w:t>HEV-Sondersolarpreis</w:t>
      </w:r>
      <w:r>
        <w:rPr>
          <w:rFonts w:ascii="Theinhardt Regular" w:hAnsi="Theinhardt Regular"/>
          <w:color w:val="231F20"/>
          <w:sz w:val="18"/>
        </w:rPr>
        <w:t> 2018</w:t>
      </w:r>
      <w:r>
        <w:rPr>
          <w:rFonts w:ascii="Theinhardt Regular" w:hAnsi="Theinhardt Regular"/>
          <w:sz w:val="18"/>
        </w:rPr>
      </w:r>
    </w:p>
    <w:p>
      <w:pPr>
        <w:spacing w:line="230" w:lineRule="exact" w:before="38"/>
        <w:ind w:left="117" w:right="117" w:firstLine="0"/>
        <w:jc w:val="both"/>
        <w:rPr>
          <w:rFonts w:ascii="Theinhardt Bold" w:hAnsi="Theinhardt Bold" w:cs="Theinhardt Bold" w:eastAsia="Theinhardt Bold"/>
          <w:sz w:val="18"/>
          <w:szCs w:val="18"/>
        </w:rPr>
      </w:pPr>
      <w:r>
        <w:rPr/>
        <w:br w:type="column"/>
      </w:r>
      <w:r>
        <w:rPr>
          <w:rFonts w:ascii="Theinhardt Bold" w:hAnsi="Theinhardt Bold"/>
          <w:b/>
          <w:color w:val="231F20"/>
          <w:spacing w:val="-1"/>
          <w:sz w:val="18"/>
        </w:rPr>
        <w:t>Reiheneinfamilienhäuser,</w:t>
      </w:r>
      <w:r>
        <w:rPr>
          <w:rFonts w:ascii="Theinhardt Bold" w:hAnsi="Theinhardt Bold"/>
          <w:b/>
          <w:color w:val="231F20"/>
          <w:spacing w:val="6"/>
          <w:sz w:val="18"/>
        </w:rPr>
        <w:t> </w:t>
      </w:r>
      <w:r>
        <w:rPr>
          <w:rFonts w:ascii="Theinhardt Bold" w:hAnsi="Theinhardt Bold"/>
          <w:b/>
          <w:color w:val="231F20"/>
          <w:spacing w:val="-1"/>
          <w:sz w:val="18"/>
        </w:rPr>
        <w:t>insbesondere</w:t>
      </w:r>
      <w:r>
        <w:rPr>
          <w:rFonts w:ascii="Theinhardt Bold" w:hAnsi="Theinhardt Bold"/>
          <w:b/>
          <w:color w:val="231F20"/>
          <w:spacing w:val="14"/>
          <w:sz w:val="18"/>
        </w:rPr>
        <w:t> </w:t>
      </w:r>
      <w:r>
        <w:rPr>
          <w:rFonts w:ascii="Theinhardt Bold" w:hAnsi="Theinhardt Bold"/>
          <w:b/>
          <w:color w:val="231F20"/>
          <w:sz w:val="18"/>
        </w:rPr>
        <w:t>wenn</w:t>
      </w:r>
      <w:r>
        <w:rPr>
          <w:rFonts w:ascii="Theinhardt Bold" w:hAnsi="Theinhardt Bold"/>
          <w:b/>
          <w:color w:val="231F20"/>
          <w:spacing w:val="14"/>
          <w:sz w:val="18"/>
        </w:rPr>
        <w:t> </w:t>
      </w:r>
      <w:r>
        <w:rPr>
          <w:rFonts w:ascii="Theinhardt Bold" w:hAnsi="Theinhardt Bold"/>
          <w:b/>
          <w:color w:val="231F20"/>
          <w:spacing w:val="-1"/>
          <w:sz w:val="18"/>
        </w:rPr>
        <w:t>sie</w:t>
      </w:r>
      <w:r>
        <w:rPr>
          <w:rFonts w:ascii="Theinhardt Bold" w:hAnsi="Theinhardt Bold"/>
          <w:b/>
          <w:color w:val="231F20"/>
          <w:spacing w:val="13"/>
          <w:sz w:val="18"/>
        </w:rPr>
        <w:t> </w:t>
      </w:r>
      <w:r>
        <w:rPr>
          <w:rFonts w:ascii="Theinhardt Bold" w:hAnsi="Theinhardt Bold"/>
          <w:b/>
          <w:color w:val="231F20"/>
          <w:sz w:val="18"/>
        </w:rPr>
        <w:t>mit</w:t>
      </w:r>
      <w:r>
        <w:rPr>
          <w:rFonts w:ascii="Theinhardt Bold" w:hAnsi="Theinhardt Bold"/>
          <w:b/>
          <w:color w:val="231F20"/>
          <w:spacing w:val="14"/>
          <w:sz w:val="18"/>
        </w:rPr>
        <w:t> </w:t>
      </w:r>
      <w:r>
        <w:rPr>
          <w:rFonts w:ascii="Theinhardt Bold" w:hAnsi="Theinhardt Bold"/>
          <w:b/>
          <w:color w:val="231F20"/>
          <w:sz w:val="18"/>
        </w:rPr>
        <w:t>denkmalschützenden</w:t>
      </w:r>
      <w:r>
        <w:rPr>
          <w:rFonts w:ascii="Theinhardt Bold" w:hAnsi="Theinhardt Bold"/>
          <w:b/>
          <w:color w:val="231F20"/>
          <w:spacing w:val="14"/>
          <w:sz w:val="18"/>
        </w:rPr>
        <w:t> </w:t>
      </w:r>
      <w:r>
        <w:rPr>
          <w:rFonts w:ascii="Theinhardt Bold" w:hAnsi="Theinhardt Bold"/>
          <w:b/>
          <w:color w:val="231F20"/>
          <w:sz w:val="18"/>
        </w:rPr>
        <w:t>Auflagen</w:t>
      </w:r>
      <w:r>
        <w:rPr>
          <w:rFonts w:ascii="Theinhardt Bold" w:hAnsi="Theinhardt Bold"/>
          <w:b/>
          <w:color w:val="231F20"/>
          <w:spacing w:val="14"/>
          <w:sz w:val="18"/>
        </w:rPr>
        <w:t> </w:t>
      </w:r>
      <w:r>
        <w:rPr>
          <w:rFonts w:ascii="Theinhardt Bold" w:hAnsi="Theinhardt Bold"/>
          <w:b/>
          <w:color w:val="231F20"/>
          <w:spacing w:val="-1"/>
          <w:sz w:val="18"/>
        </w:rPr>
        <w:t>versehen</w:t>
      </w:r>
      <w:r>
        <w:rPr>
          <w:rFonts w:ascii="Theinhardt Bold" w:hAnsi="Theinhardt Bold"/>
          <w:b/>
          <w:color w:val="231F20"/>
          <w:spacing w:val="61"/>
          <w:sz w:val="18"/>
        </w:rPr>
        <w:t> </w:t>
      </w:r>
      <w:r>
        <w:rPr>
          <w:rFonts w:ascii="Theinhardt Bold" w:hAnsi="Theinhardt Bold"/>
          <w:b/>
          <w:color w:val="231F20"/>
          <w:sz w:val="18"/>
        </w:rPr>
        <w:t>sind,</w:t>
      </w:r>
      <w:r>
        <w:rPr>
          <w:rFonts w:ascii="Theinhardt Bold" w:hAnsi="Theinhardt Bold"/>
          <w:b/>
          <w:color w:val="231F20"/>
          <w:spacing w:val="-18"/>
          <w:sz w:val="18"/>
        </w:rPr>
        <w:t> </w:t>
      </w:r>
      <w:r>
        <w:rPr>
          <w:rFonts w:ascii="Theinhardt Bold" w:hAnsi="Theinhardt Bold"/>
          <w:b/>
          <w:color w:val="231F20"/>
          <w:sz w:val="18"/>
        </w:rPr>
        <w:t>bergen</w:t>
      </w:r>
      <w:r>
        <w:rPr>
          <w:rFonts w:ascii="Theinhardt Bold" w:hAnsi="Theinhardt Bold"/>
          <w:b/>
          <w:color w:val="231F20"/>
          <w:spacing w:val="-10"/>
          <w:sz w:val="18"/>
        </w:rPr>
        <w:t> </w:t>
      </w:r>
      <w:r>
        <w:rPr>
          <w:rFonts w:ascii="Theinhardt Bold" w:hAnsi="Theinhardt Bold"/>
          <w:b/>
          <w:color w:val="231F20"/>
          <w:sz w:val="18"/>
        </w:rPr>
        <w:t>bei</w:t>
      </w:r>
      <w:r>
        <w:rPr>
          <w:rFonts w:ascii="Theinhardt Bold" w:hAnsi="Theinhardt Bold"/>
          <w:b/>
          <w:color w:val="231F20"/>
          <w:spacing w:val="-10"/>
          <w:sz w:val="18"/>
        </w:rPr>
        <w:t> </w:t>
      </w:r>
      <w:r>
        <w:rPr>
          <w:rFonts w:ascii="Theinhardt Bold" w:hAnsi="Theinhardt Bold"/>
          <w:b/>
          <w:color w:val="231F20"/>
          <w:spacing w:val="-1"/>
          <w:sz w:val="18"/>
        </w:rPr>
        <w:t>der</w:t>
      </w:r>
      <w:r>
        <w:rPr>
          <w:rFonts w:ascii="Theinhardt Bold" w:hAnsi="Theinhardt Bold"/>
          <w:b/>
          <w:color w:val="231F20"/>
          <w:spacing w:val="-10"/>
          <w:sz w:val="18"/>
        </w:rPr>
        <w:t> </w:t>
      </w:r>
      <w:r>
        <w:rPr>
          <w:rFonts w:ascii="Theinhardt Bold" w:hAnsi="Theinhardt Bold"/>
          <w:b/>
          <w:color w:val="231F20"/>
          <w:sz w:val="18"/>
        </w:rPr>
        <w:t>Erneuerung</w:t>
      </w:r>
      <w:r>
        <w:rPr>
          <w:rFonts w:ascii="Theinhardt Bold" w:hAnsi="Theinhardt Bold"/>
          <w:b/>
          <w:color w:val="231F20"/>
          <w:spacing w:val="-10"/>
          <w:sz w:val="18"/>
        </w:rPr>
        <w:t> </w:t>
      </w:r>
      <w:r>
        <w:rPr>
          <w:rFonts w:ascii="Theinhardt Bold" w:hAnsi="Theinhardt Bold"/>
          <w:b/>
          <w:color w:val="231F20"/>
          <w:sz w:val="18"/>
        </w:rPr>
        <w:t>besondere</w:t>
      </w:r>
      <w:r>
        <w:rPr>
          <w:rFonts w:ascii="Theinhardt Bold" w:hAnsi="Theinhardt Bold"/>
          <w:b/>
          <w:color w:val="231F20"/>
          <w:spacing w:val="-10"/>
          <w:sz w:val="18"/>
        </w:rPr>
        <w:t> </w:t>
      </w:r>
      <w:r>
        <w:rPr>
          <w:rFonts w:ascii="Theinhardt Bold" w:hAnsi="Theinhardt Bold"/>
          <w:b/>
          <w:color w:val="231F20"/>
          <w:spacing w:val="-1"/>
          <w:sz w:val="18"/>
        </w:rPr>
        <w:t>Herausforderungen.</w:t>
      </w:r>
      <w:r>
        <w:rPr>
          <w:rFonts w:ascii="Theinhardt Bold" w:hAnsi="Theinhardt Bold"/>
          <w:b/>
          <w:color w:val="231F20"/>
          <w:spacing w:val="-18"/>
          <w:sz w:val="18"/>
        </w:rPr>
        <w:t> </w:t>
      </w:r>
      <w:r>
        <w:rPr>
          <w:rFonts w:ascii="Theinhardt Bold" w:hAnsi="Theinhardt Bold"/>
          <w:b/>
          <w:color w:val="231F20"/>
          <w:sz w:val="18"/>
        </w:rPr>
        <w:t>Die</w:t>
      </w:r>
      <w:r>
        <w:rPr>
          <w:rFonts w:ascii="Theinhardt Bold" w:hAnsi="Theinhardt Bold"/>
          <w:b/>
          <w:color w:val="231F20"/>
          <w:spacing w:val="-10"/>
          <w:sz w:val="18"/>
        </w:rPr>
        <w:t> </w:t>
      </w:r>
      <w:r>
        <w:rPr>
          <w:rFonts w:ascii="Theinhardt Bold" w:hAnsi="Theinhardt Bold"/>
          <w:b/>
          <w:color w:val="231F20"/>
          <w:sz w:val="18"/>
        </w:rPr>
        <w:t>Umsetzung</w:t>
      </w:r>
      <w:r>
        <w:rPr>
          <w:rFonts w:ascii="Theinhardt Bold" w:hAnsi="Theinhardt Bold"/>
          <w:b/>
          <w:color w:val="231F20"/>
          <w:spacing w:val="-10"/>
          <w:sz w:val="18"/>
        </w:rPr>
        <w:t> </w:t>
      </w:r>
      <w:r>
        <w:rPr>
          <w:rFonts w:ascii="Theinhardt Bold" w:hAnsi="Theinhardt Bold"/>
          <w:b/>
          <w:color w:val="231F20"/>
          <w:sz w:val="18"/>
        </w:rPr>
        <w:t>beim</w:t>
      </w:r>
      <w:r>
        <w:rPr>
          <w:rFonts w:ascii="Theinhardt Bold" w:hAnsi="Theinhardt Bold"/>
          <w:b/>
          <w:color w:val="231F20"/>
          <w:spacing w:val="-10"/>
          <w:sz w:val="18"/>
        </w:rPr>
        <w:t> </w:t>
      </w:r>
      <w:r>
        <w:rPr>
          <w:rFonts w:ascii="Theinhardt Bold" w:hAnsi="Theinhardt Bold"/>
          <w:b/>
          <w:color w:val="231F20"/>
          <w:spacing w:val="-1"/>
          <w:sz w:val="18"/>
        </w:rPr>
        <w:t>Zwischen-</w:t>
      </w:r>
      <w:r>
        <w:rPr>
          <w:rFonts w:ascii="Theinhardt Bold" w:hAnsi="Theinhardt Bold"/>
          <w:b/>
          <w:color w:val="231F20"/>
          <w:spacing w:val="55"/>
          <w:sz w:val="18"/>
        </w:rPr>
        <w:t> </w:t>
      </w:r>
      <w:r>
        <w:rPr>
          <w:rFonts w:ascii="Theinhardt Bold" w:hAnsi="Theinhardt Bold"/>
          <w:b/>
          <w:color w:val="231F20"/>
          <w:sz w:val="18"/>
        </w:rPr>
        <w:t>haus</w:t>
      </w:r>
      <w:r>
        <w:rPr>
          <w:rFonts w:ascii="Theinhardt Bold" w:hAnsi="Theinhardt Bold"/>
          <w:b/>
          <w:color w:val="231F20"/>
          <w:spacing w:val="-13"/>
          <w:sz w:val="18"/>
        </w:rPr>
        <w:t> </w:t>
      </w:r>
      <w:r>
        <w:rPr>
          <w:rFonts w:ascii="Theinhardt Bold" w:hAnsi="Theinhardt Bold"/>
          <w:b/>
          <w:color w:val="231F20"/>
          <w:spacing w:val="-1"/>
          <w:sz w:val="18"/>
        </w:rPr>
        <w:t>Göblistrasse</w:t>
      </w:r>
      <w:r>
        <w:rPr>
          <w:rFonts w:ascii="Theinhardt Bold" w:hAnsi="Theinhardt Bold"/>
          <w:b/>
          <w:color w:val="231F20"/>
          <w:spacing w:val="-12"/>
          <w:sz w:val="18"/>
        </w:rPr>
        <w:t> </w:t>
      </w:r>
      <w:r>
        <w:rPr>
          <w:rFonts w:ascii="Theinhardt Bold" w:hAnsi="Theinhardt Bold"/>
          <w:b/>
          <w:color w:val="231F20"/>
          <w:sz w:val="18"/>
        </w:rPr>
        <w:t>29b</w:t>
      </w:r>
      <w:r>
        <w:rPr>
          <w:rFonts w:ascii="Theinhardt Bold" w:hAnsi="Theinhardt Bold"/>
          <w:b/>
          <w:color w:val="231F20"/>
          <w:spacing w:val="-13"/>
          <w:sz w:val="18"/>
        </w:rPr>
        <w:t> </w:t>
      </w:r>
      <w:r>
        <w:rPr>
          <w:rFonts w:ascii="Theinhardt Bold" w:hAnsi="Theinhardt Bold"/>
          <w:b/>
          <w:color w:val="231F20"/>
          <w:sz w:val="18"/>
        </w:rPr>
        <w:t>in</w:t>
      </w:r>
      <w:r>
        <w:rPr>
          <w:rFonts w:ascii="Theinhardt Bold" w:hAnsi="Theinhardt Bold"/>
          <w:b/>
          <w:color w:val="231F20"/>
          <w:spacing w:val="-12"/>
          <w:sz w:val="18"/>
        </w:rPr>
        <w:t> </w:t>
      </w:r>
      <w:r>
        <w:rPr>
          <w:rFonts w:ascii="Theinhardt Bold" w:hAnsi="Theinhardt Bold"/>
          <w:b/>
          <w:color w:val="231F20"/>
          <w:sz w:val="18"/>
        </w:rPr>
        <w:t>Zug</w:t>
      </w:r>
      <w:r>
        <w:rPr>
          <w:rFonts w:ascii="Theinhardt Bold" w:hAnsi="Theinhardt Bold"/>
          <w:b/>
          <w:color w:val="231F20"/>
          <w:spacing w:val="-13"/>
          <w:sz w:val="18"/>
        </w:rPr>
        <w:t> </w:t>
      </w:r>
      <w:r>
        <w:rPr>
          <w:rFonts w:ascii="Theinhardt Bold" w:hAnsi="Theinhardt Bold"/>
          <w:b/>
          <w:color w:val="231F20"/>
          <w:spacing w:val="-1"/>
          <w:sz w:val="18"/>
        </w:rPr>
        <w:t>zeigt</w:t>
      </w:r>
      <w:r>
        <w:rPr>
          <w:rFonts w:ascii="Theinhardt Bold" w:hAnsi="Theinhardt Bold"/>
          <w:b/>
          <w:color w:val="231F20"/>
          <w:spacing w:val="-12"/>
          <w:sz w:val="18"/>
        </w:rPr>
        <w:t> </w:t>
      </w:r>
      <w:r>
        <w:rPr>
          <w:rFonts w:ascii="Theinhardt Bold" w:hAnsi="Theinhardt Bold"/>
          <w:b/>
          <w:color w:val="231F20"/>
          <w:spacing w:val="-1"/>
          <w:sz w:val="18"/>
        </w:rPr>
        <w:t>exemplarisch</w:t>
      </w:r>
      <w:r>
        <w:rPr>
          <w:rFonts w:ascii="Theinhardt Bold" w:hAnsi="Theinhardt Bold"/>
          <w:b/>
          <w:color w:val="231F20"/>
          <w:spacing w:val="-12"/>
          <w:sz w:val="18"/>
        </w:rPr>
        <w:t> </w:t>
      </w:r>
      <w:r>
        <w:rPr>
          <w:rFonts w:ascii="Theinhardt Bold" w:hAnsi="Theinhardt Bold"/>
          <w:b/>
          <w:color w:val="231F20"/>
          <w:spacing w:val="-3"/>
          <w:sz w:val="18"/>
        </w:rPr>
        <w:t>auf,</w:t>
      </w:r>
      <w:r>
        <w:rPr>
          <w:rFonts w:ascii="Theinhardt Bold" w:hAnsi="Theinhardt Bold"/>
          <w:b/>
          <w:color w:val="231F20"/>
          <w:spacing w:val="-20"/>
          <w:sz w:val="18"/>
        </w:rPr>
        <w:t> </w:t>
      </w:r>
      <w:r>
        <w:rPr>
          <w:rFonts w:ascii="Theinhardt Bold" w:hAnsi="Theinhardt Bold"/>
          <w:b/>
          <w:color w:val="231F20"/>
          <w:sz w:val="18"/>
        </w:rPr>
        <w:t>dass</w:t>
      </w:r>
      <w:r>
        <w:rPr>
          <w:rFonts w:ascii="Theinhardt Bold" w:hAnsi="Theinhardt Bold"/>
          <w:b/>
          <w:color w:val="231F20"/>
          <w:spacing w:val="-12"/>
          <w:sz w:val="18"/>
        </w:rPr>
        <w:t> </w:t>
      </w:r>
      <w:r>
        <w:rPr>
          <w:rFonts w:ascii="Theinhardt Bold" w:hAnsi="Theinhardt Bold"/>
          <w:b/>
          <w:color w:val="231F20"/>
          <w:sz w:val="18"/>
        </w:rPr>
        <w:t>Energieeffizienz</w:t>
      </w:r>
      <w:r>
        <w:rPr>
          <w:rFonts w:ascii="Theinhardt Bold" w:hAnsi="Theinhardt Bold"/>
          <w:b/>
          <w:color w:val="231F20"/>
          <w:spacing w:val="-13"/>
          <w:sz w:val="18"/>
        </w:rPr>
        <w:t> </w:t>
      </w:r>
      <w:r>
        <w:rPr>
          <w:rFonts w:ascii="Theinhardt Bold" w:hAnsi="Theinhardt Bold"/>
          <w:b/>
          <w:color w:val="231F20"/>
          <w:sz w:val="18"/>
        </w:rPr>
        <w:t>und</w:t>
      </w:r>
      <w:r>
        <w:rPr>
          <w:rFonts w:ascii="Theinhardt Bold" w:hAnsi="Theinhardt Bold"/>
          <w:b/>
          <w:color w:val="231F20"/>
          <w:spacing w:val="-12"/>
          <w:sz w:val="18"/>
        </w:rPr>
        <w:t> </w:t>
      </w:r>
      <w:r>
        <w:rPr>
          <w:rFonts w:ascii="Theinhardt Bold" w:hAnsi="Theinhardt Bold"/>
          <w:b/>
          <w:color w:val="231F20"/>
          <w:sz w:val="18"/>
        </w:rPr>
        <w:t>Solarenergienut-</w:t>
      </w:r>
      <w:r>
        <w:rPr>
          <w:rFonts w:ascii="Theinhardt Bold" w:hAnsi="Theinhardt Bold"/>
          <w:b/>
          <w:color w:val="231F20"/>
          <w:spacing w:val="47"/>
          <w:sz w:val="18"/>
        </w:rPr>
        <w:t> </w:t>
      </w:r>
      <w:r>
        <w:rPr>
          <w:rFonts w:ascii="Theinhardt Bold" w:hAnsi="Theinhardt Bold"/>
          <w:b/>
          <w:color w:val="231F20"/>
          <w:sz w:val="18"/>
        </w:rPr>
        <w:t>zung</w:t>
      </w:r>
      <w:r>
        <w:rPr>
          <w:rFonts w:ascii="Theinhardt Bold" w:hAnsi="Theinhardt Bold"/>
          <w:b/>
          <w:color w:val="231F20"/>
          <w:spacing w:val="2"/>
          <w:sz w:val="18"/>
        </w:rPr>
        <w:t> </w:t>
      </w:r>
      <w:r>
        <w:rPr>
          <w:rFonts w:ascii="Theinhardt Bold" w:hAnsi="Theinhardt Bold"/>
          <w:b/>
          <w:color w:val="231F20"/>
          <w:spacing w:val="-1"/>
          <w:sz w:val="18"/>
        </w:rPr>
        <w:t>nicht</w:t>
      </w:r>
      <w:r>
        <w:rPr>
          <w:rFonts w:ascii="Theinhardt Bold" w:hAnsi="Theinhardt Bold"/>
          <w:b/>
          <w:color w:val="231F20"/>
          <w:spacing w:val="2"/>
          <w:sz w:val="18"/>
        </w:rPr>
        <w:t> </w:t>
      </w:r>
      <w:r>
        <w:rPr>
          <w:rFonts w:ascii="Theinhardt Bold" w:hAnsi="Theinhardt Bold"/>
          <w:b/>
          <w:color w:val="231F20"/>
          <w:sz w:val="18"/>
        </w:rPr>
        <w:t>zu</w:t>
      </w:r>
      <w:r>
        <w:rPr>
          <w:rFonts w:ascii="Theinhardt Bold" w:hAnsi="Theinhardt Bold"/>
          <w:b/>
          <w:color w:val="231F20"/>
          <w:spacing w:val="2"/>
          <w:sz w:val="18"/>
        </w:rPr>
        <w:t> </w:t>
      </w:r>
      <w:r>
        <w:rPr>
          <w:rFonts w:ascii="Theinhardt Bold" w:hAnsi="Theinhardt Bold"/>
          <w:b/>
          <w:color w:val="231F20"/>
          <w:sz w:val="18"/>
        </w:rPr>
        <w:t>Lasten</w:t>
      </w:r>
      <w:r>
        <w:rPr>
          <w:rFonts w:ascii="Theinhardt Bold" w:hAnsi="Theinhardt Bold"/>
          <w:b/>
          <w:color w:val="231F20"/>
          <w:spacing w:val="2"/>
          <w:sz w:val="18"/>
        </w:rPr>
        <w:t> </w:t>
      </w:r>
      <w:r>
        <w:rPr>
          <w:rFonts w:ascii="Theinhardt Bold" w:hAnsi="Theinhardt Bold"/>
          <w:b/>
          <w:color w:val="231F20"/>
          <w:sz w:val="18"/>
        </w:rPr>
        <w:t>des</w:t>
      </w:r>
      <w:r>
        <w:rPr>
          <w:rFonts w:ascii="Theinhardt Bold" w:hAnsi="Theinhardt Bold"/>
          <w:b/>
          <w:color w:val="231F20"/>
          <w:spacing w:val="2"/>
          <w:sz w:val="18"/>
        </w:rPr>
        <w:t> </w:t>
      </w:r>
      <w:r>
        <w:rPr>
          <w:rFonts w:ascii="Theinhardt Bold" w:hAnsi="Theinhardt Bold"/>
          <w:b/>
          <w:color w:val="231F20"/>
          <w:sz w:val="18"/>
        </w:rPr>
        <w:t>Gesamtbilds</w:t>
      </w:r>
      <w:r>
        <w:rPr>
          <w:rFonts w:ascii="Theinhardt Bold" w:hAnsi="Theinhardt Bold"/>
          <w:b/>
          <w:color w:val="231F20"/>
          <w:spacing w:val="2"/>
          <w:sz w:val="18"/>
        </w:rPr>
        <w:t> </w:t>
      </w:r>
      <w:r>
        <w:rPr>
          <w:rFonts w:ascii="Theinhardt Bold" w:hAnsi="Theinhardt Bold"/>
          <w:b/>
          <w:color w:val="231F20"/>
          <w:sz w:val="18"/>
        </w:rPr>
        <w:t>gehen</w:t>
      </w:r>
      <w:r>
        <w:rPr>
          <w:rFonts w:ascii="Theinhardt Bold" w:hAnsi="Theinhardt Bold"/>
          <w:b/>
          <w:color w:val="231F20"/>
          <w:spacing w:val="2"/>
          <w:sz w:val="18"/>
        </w:rPr>
        <w:t> </w:t>
      </w:r>
      <w:r>
        <w:rPr>
          <w:rFonts w:ascii="Theinhardt Bold" w:hAnsi="Theinhardt Bold"/>
          <w:b/>
          <w:color w:val="231F20"/>
          <w:sz w:val="18"/>
        </w:rPr>
        <w:t>müssen.</w:t>
      </w:r>
      <w:r>
        <w:rPr>
          <w:rFonts w:ascii="Theinhardt Bold" w:hAnsi="Theinhardt Bold"/>
          <w:b/>
          <w:color w:val="231F20"/>
          <w:spacing w:val="-5"/>
          <w:sz w:val="18"/>
        </w:rPr>
        <w:t> </w:t>
      </w:r>
      <w:r>
        <w:rPr>
          <w:rFonts w:ascii="Theinhardt Bold" w:hAnsi="Theinhardt Bold"/>
          <w:b/>
          <w:color w:val="231F20"/>
          <w:sz w:val="18"/>
        </w:rPr>
        <w:t>Dank</w:t>
      </w:r>
      <w:r>
        <w:rPr>
          <w:rFonts w:ascii="Theinhardt Bold" w:hAnsi="Theinhardt Bold"/>
          <w:b/>
          <w:color w:val="231F20"/>
          <w:spacing w:val="2"/>
          <w:sz w:val="18"/>
        </w:rPr>
        <w:t> </w:t>
      </w:r>
      <w:r>
        <w:rPr>
          <w:rFonts w:ascii="Theinhardt Bold" w:hAnsi="Theinhardt Bold"/>
          <w:b/>
          <w:color w:val="231F20"/>
          <w:sz w:val="18"/>
        </w:rPr>
        <w:t>guter</w:t>
      </w:r>
      <w:r>
        <w:rPr>
          <w:rFonts w:ascii="Theinhardt Bold" w:hAnsi="Theinhardt Bold"/>
          <w:b/>
          <w:color w:val="231F20"/>
          <w:spacing w:val="2"/>
          <w:sz w:val="18"/>
        </w:rPr>
        <w:t> </w:t>
      </w:r>
      <w:r>
        <w:rPr>
          <w:rFonts w:ascii="Theinhardt Bold" w:hAnsi="Theinhardt Bold"/>
          <w:b/>
          <w:color w:val="231F20"/>
          <w:sz w:val="18"/>
        </w:rPr>
        <w:t>Wärmedämmung,</w:t>
      </w:r>
      <w:r>
        <w:rPr>
          <w:rFonts w:ascii="Theinhardt Bold" w:hAnsi="Theinhardt Bold"/>
          <w:b/>
          <w:color w:val="231F20"/>
          <w:spacing w:val="-5"/>
          <w:sz w:val="18"/>
        </w:rPr>
        <w:t> </w:t>
      </w:r>
      <w:r>
        <w:rPr>
          <w:rFonts w:ascii="Theinhardt Bold" w:hAnsi="Theinhardt Bold"/>
          <w:b/>
          <w:color w:val="231F20"/>
          <w:sz w:val="18"/>
        </w:rPr>
        <w:t>einer</w:t>
      </w:r>
      <w:r>
        <w:rPr>
          <w:rFonts w:ascii="Theinhardt Bold" w:hAnsi="Theinhardt Bold"/>
          <w:b/>
          <w:color w:val="231F20"/>
          <w:spacing w:val="2"/>
          <w:sz w:val="18"/>
        </w:rPr>
        <w:t> </w:t>
      </w:r>
      <w:r>
        <w:rPr>
          <w:rFonts w:ascii="Theinhardt Bold" w:hAnsi="Theinhardt Bold"/>
          <w:b/>
          <w:color w:val="231F20"/>
          <w:sz w:val="18"/>
        </w:rPr>
        <w:t>nach</w:t>
      </w:r>
      <w:r>
        <w:rPr>
          <w:rFonts w:ascii="Theinhardt Bold" w:hAnsi="Theinhardt Bold"/>
          <w:b/>
          <w:color w:val="231F20"/>
          <w:spacing w:val="29"/>
          <w:sz w:val="18"/>
        </w:rPr>
        <w:t> </w:t>
      </w:r>
      <w:r>
        <w:rPr>
          <w:rFonts w:ascii="Theinhardt Bold" w:hAnsi="Theinhardt Bold"/>
          <w:b/>
          <w:color w:val="231F20"/>
          <w:sz w:val="18"/>
        </w:rPr>
        <w:t>Süden</w:t>
      </w:r>
      <w:r>
        <w:rPr>
          <w:rFonts w:ascii="Theinhardt Bold" w:hAnsi="Theinhardt Bold"/>
          <w:b/>
          <w:color w:val="231F20"/>
          <w:spacing w:val="-2"/>
          <w:sz w:val="18"/>
        </w:rPr>
        <w:t> </w:t>
      </w:r>
      <w:r>
        <w:rPr>
          <w:rFonts w:ascii="Theinhardt Bold" w:hAnsi="Theinhardt Bold"/>
          <w:b/>
          <w:color w:val="231F20"/>
          <w:spacing w:val="-1"/>
          <w:sz w:val="18"/>
        </w:rPr>
        <w:t>ausgerichteten,</w:t>
      </w:r>
      <w:r>
        <w:rPr>
          <w:rFonts w:ascii="Theinhardt Bold" w:hAnsi="Theinhardt Bold"/>
          <w:b/>
          <w:color w:val="231F20"/>
          <w:spacing w:val="-9"/>
          <w:sz w:val="18"/>
        </w:rPr>
        <w:t> </w:t>
      </w:r>
      <w:r>
        <w:rPr>
          <w:rFonts w:ascii="Theinhardt Bold" w:hAnsi="Theinhardt Bold"/>
          <w:b/>
          <w:color w:val="231F20"/>
          <w:sz w:val="18"/>
        </w:rPr>
        <w:t>5</w:t>
      </w:r>
      <w:r>
        <w:rPr>
          <w:rFonts w:ascii="Theinhardt Bold" w:hAnsi="Theinhardt Bold"/>
          <w:b/>
          <w:color w:val="231F20"/>
          <w:spacing w:val="-2"/>
          <w:sz w:val="18"/>
        </w:rPr>
        <w:t> </w:t>
      </w:r>
      <w:r>
        <w:rPr>
          <w:rFonts w:ascii="Theinhardt Bold" w:hAnsi="Theinhardt Bold"/>
          <w:b/>
          <w:color w:val="231F20"/>
          <w:sz w:val="18"/>
        </w:rPr>
        <w:t>kW</w:t>
      </w:r>
      <w:r>
        <w:rPr>
          <w:rFonts w:ascii="Theinhardt Bold" w:hAnsi="Theinhardt Bold"/>
          <w:b/>
          <w:color w:val="231F20"/>
          <w:spacing w:val="-2"/>
          <w:sz w:val="18"/>
        </w:rPr>
        <w:t> </w:t>
      </w:r>
      <w:r>
        <w:rPr>
          <w:rFonts w:ascii="Theinhardt Bold" w:hAnsi="Theinhardt Bold"/>
          <w:b/>
          <w:color w:val="231F20"/>
          <w:spacing w:val="-1"/>
          <w:sz w:val="18"/>
        </w:rPr>
        <w:t>starken</w:t>
      </w:r>
      <w:r>
        <w:rPr>
          <w:rFonts w:ascii="Theinhardt Bold" w:hAnsi="Theinhardt Bold"/>
          <w:b/>
          <w:color w:val="231F20"/>
          <w:spacing w:val="-2"/>
          <w:sz w:val="18"/>
        </w:rPr>
        <w:t> </w:t>
      </w:r>
      <w:r>
        <w:rPr>
          <w:rFonts w:ascii="Theinhardt Bold" w:hAnsi="Theinhardt Bold"/>
          <w:b/>
          <w:color w:val="231F20"/>
          <w:sz w:val="18"/>
        </w:rPr>
        <w:t>Photovoltaikanlage</w:t>
      </w:r>
      <w:r>
        <w:rPr>
          <w:rFonts w:ascii="Theinhardt Bold" w:hAnsi="Theinhardt Bold"/>
          <w:b/>
          <w:color w:val="231F20"/>
          <w:spacing w:val="-2"/>
          <w:sz w:val="18"/>
        </w:rPr>
        <w:t> </w:t>
      </w:r>
      <w:r>
        <w:rPr>
          <w:rFonts w:ascii="Theinhardt Bold" w:hAnsi="Theinhardt Bold"/>
          <w:b/>
          <w:color w:val="231F20"/>
          <w:sz w:val="18"/>
        </w:rPr>
        <w:t>und</w:t>
      </w:r>
      <w:r>
        <w:rPr>
          <w:rFonts w:ascii="Theinhardt Bold" w:hAnsi="Theinhardt Bold"/>
          <w:b/>
          <w:color w:val="231F20"/>
          <w:spacing w:val="-2"/>
          <w:sz w:val="18"/>
        </w:rPr>
        <w:t> </w:t>
      </w:r>
      <w:r>
        <w:rPr>
          <w:rFonts w:ascii="Theinhardt Bold" w:hAnsi="Theinhardt Bold"/>
          <w:b/>
          <w:color w:val="231F20"/>
          <w:sz w:val="18"/>
        </w:rPr>
        <w:t>einem</w:t>
      </w:r>
      <w:r>
        <w:rPr>
          <w:rFonts w:ascii="Theinhardt Bold" w:hAnsi="Theinhardt Bold"/>
          <w:b/>
          <w:color w:val="231F20"/>
          <w:spacing w:val="-2"/>
          <w:sz w:val="18"/>
        </w:rPr>
        <w:t> </w:t>
      </w:r>
      <w:r>
        <w:rPr>
          <w:rFonts w:ascii="Theinhardt Bold" w:hAnsi="Theinhardt Bold"/>
          <w:b/>
          <w:color w:val="231F20"/>
          <w:spacing w:val="-1"/>
          <w:sz w:val="18"/>
        </w:rPr>
        <w:t>zentralen</w:t>
      </w:r>
      <w:r>
        <w:rPr>
          <w:rFonts w:ascii="Theinhardt Bold" w:hAnsi="Theinhardt Bold"/>
          <w:b/>
          <w:color w:val="231F20"/>
          <w:spacing w:val="-2"/>
          <w:sz w:val="18"/>
        </w:rPr>
        <w:t> </w:t>
      </w:r>
      <w:r>
        <w:rPr>
          <w:rFonts w:ascii="Theinhardt Bold" w:hAnsi="Theinhardt Bold"/>
          <w:b/>
          <w:color w:val="231F20"/>
          <w:spacing w:val="-1"/>
          <w:sz w:val="18"/>
        </w:rPr>
        <w:t>Holzspeicherofen</w:t>
      </w:r>
      <w:r>
        <w:rPr>
          <w:rFonts w:ascii="Theinhardt Bold" w:hAnsi="Theinhardt Bold"/>
          <w:b/>
          <w:color w:val="231F20"/>
          <w:spacing w:val="67"/>
          <w:sz w:val="18"/>
        </w:rPr>
        <w:t> </w:t>
      </w:r>
      <w:r>
        <w:rPr>
          <w:rFonts w:ascii="Theinhardt Bold" w:hAnsi="Theinhardt Bold"/>
          <w:b/>
          <w:color w:val="231F20"/>
          <w:sz w:val="18"/>
        </w:rPr>
        <w:t>benötigt</w:t>
      </w:r>
      <w:r>
        <w:rPr>
          <w:rFonts w:ascii="Theinhardt Bold" w:hAnsi="Theinhardt Bold"/>
          <w:b/>
          <w:color w:val="231F20"/>
          <w:spacing w:val="-6"/>
          <w:sz w:val="18"/>
        </w:rPr>
        <w:t> </w:t>
      </w:r>
      <w:r>
        <w:rPr>
          <w:rFonts w:ascii="Theinhardt Bold" w:hAnsi="Theinhardt Bold"/>
          <w:b/>
          <w:color w:val="231F20"/>
          <w:sz w:val="18"/>
        </w:rPr>
        <w:t>das</w:t>
      </w:r>
      <w:r>
        <w:rPr>
          <w:rFonts w:ascii="Theinhardt Bold" w:hAnsi="Theinhardt Bold"/>
          <w:b/>
          <w:color w:val="231F20"/>
          <w:spacing w:val="-6"/>
          <w:sz w:val="18"/>
        </w:rPr>
        <w:t> </w:t>
      </w:r>
      <w:r>
        <w:rPr>
          <w:rFonts w:ascii="Theinhardt Bold" w:hAnsi="Theinhardt Bold"/>
          <w:b/>
          <w:color w:val="231F20"/>
          <w:sz w:val="18"/>
        </w:rPr>
        <w:t>Mittelhaus</w:t>
      </w:r>
      <w:r>
        <w:rPr>
          <w:rFonts w:ascii="Theinhardt Bold" w:hAnsi="Theinhardt Bold"/>
          <w:b/>
          <w:color w:val="231F20"/>
          <w:spacing w:val="-6"/>
          <w:sz w:val="18"/>
        </w:rPr>
        <w:t> </w:t>
      </w:r>
      <w:r>
        <w:rPr>
          <w:rFonts w:ascii="Theinhardt Bold" w:hAnsi="Theinhardt Bold"/>
          <w:b/>
          <w:color w:val="231F20"/>
          <w:sz w:val="18"/>
        </w:rPr>
        <w:t>heute</w:t>
      </w:r>
      <w:r>
        <w:rPr>
          <w:rFonts w:ascii="Theinhardt Bold" w:hAnsi="Theinhardt Bold"/>
          <w:b/>
          <w:color w:val="231F20"/>
          <w:spacing w:val="-6"/>
          <w:sz w:val="18"/>
        </w:rPr>
        <w:t> </w:t>
      </w:r>
      <w:r>
        <w:rPr>
          <w:rFonts w:ascii="Theinhardt Bold" w:hAnsi="Theinhardt Bold"/>
          <w:b/>
          <w:color w:val="231F20"/>
          <w:spacing w:val="-1"/>
          <w:sz w:val="18"/>
        </w:rPr>
        <w:t>weniger</w:t>
      </w:r>
      <w:r>
        <w:rPr>
          <w:rFonts w:ascii="Theinhardt Bold" w:hAnsi="Theinhardt Bold"/>
          <w:b/>
          <w:color w:val="231F20"/>
          <w:spacing w:val="-6"/>
          <w:sz w:val="18"/>
        </w:rPr>
        <w:t> </w:t>
      </w:r>
      <w:r>
        <w:rPr>
          <w:rFonts w:ascii="Theinhardt Bold" w:hAnsi="Theinhardt Bold"/>
          <w:b/>
          <w:color w:val="231F20"/>
          <w:sz w:val="18"/>
        </w:rPr>
        <w:t>als</w:t>
      </w:r>
      <w:r>
        <w:rPr>
          <w:rFonts w:ascii="Theinhardt Bold" w:hAnsi="Theinhardt Bold"/>
          <w:b/>
          <w:color w:val="231F20"/>
          <w:spacing w:val="-6"/>
          <w:sz w:val="18"/>
        </w:rPr>
        <w:t> </w:t>
      </w:r>
      <w:r>
        <w:rPr>
          <w:rFonts w:ascii="Theinhardt Bold" w:hAnsi="Theinhardt Bold"/>
          <w:b/>
          <w:color w:val="231F20"/>
          <w:sz w:val="18"/>
        </w:rPr>
        <w:t>halb</w:t>
      </w:r>
      <w:r>
        <w:rPr>
          <w:rFonts w:ascii="Theinhardt Bold" w:hAnsi="Theinhardt Bold"/>
          <w:b/>
          <w:color w:val="231F20"/>
          <w:spacing w:val="-6"/>
          <w:sz w:val="18"/>
        </w:rPr>
        <w:t> </w:t>
      </w:r>
      <w:r>
        <w:rPr>
          <w:rFonts w:ascii="Theinhardt Bold" w:hAnsi="Theinhardt Bold"/>
          <w:b/>
          <w:color w:val="231F20"/>
          <w:sz w:val="18"/>
        </w:rPr>
        <w:t>so</w:t>
      </w:r>
      <w:r>
        <w:rPr>
          <w:rFonts w:ascii="Theinhardt Bold" w:hAnsi="Theinhardt Bold"/>
          <w:b/>
          <w:color w:val="231F20"/>
          <w:spacing w:val="-6"/>
          <w:sz w:val="18"/>
        </w:rPr>
        <w:t> </w:t>
      </w:r>
      <w:r>
        <w:rPr>
          <w:rFonts w:ascii="Theinhardt Bold" w:hAnsi="Theinhardt Bold"/>
          <w:b/>
          <w:color w:val="231F20"/>
          <w:sz w:val="18"/>
        </w:rPr>
        <w:t>viel</w:t>
      </w:r>
      <w:r>
        <w:rPr>
          <w:rFonts w:ascii="Theinhardt Bold" w:hAnsi="Theinhardt Bold"/>
          <w:b/>
          <w:color w:val="231F20"/>
          <w:spacing w:val="-6"/>
          <w:sz w:val="18"/>
        </w:rPr>
        <w:t> </w:t>
      </w:r>
      <w:r>
        <w:rPr>
          <w:rFonts w:ascii="Theinhardt Bold" w:hAnsi="Theinhardt Bold"/>
          <w:b/>
          <w:color w:val="231F20"/>
          <w:spacing w:val="-1"/>
          <w:sz w:val="18"/>
        </w:rPr>
        <w:t>Energie</w:t>
      </w:r>
      <w:r>
        <w:rPr>
          <w:rFonts w:ascii="Theinhardt Bold" w:hAnsi="Theinhardt Bold"/>
          <w:b/>
          <w:color w:val="231F20"/>
          <w:spacing w:val="-6"/>
          <w:sz w:val="18"/>
        </w:rPr>
        <w:t> </w:t>
      </w:r>
      <w:r>
        <w:rPr>
          <w:rFonts w:ascii="Theinhardt Bold" w:hAnsi="Theinhardt Bold"/>
          <w:b/>
          <w:color w:val="231F20"/>
          <w:sz w:val="18"/>
        </w:rPr>
        <w:t>und</w:t>
      </w:r>
      <w:r>
        <w:rPr>
          <w:rFonts w:ascii="Theinhardt Bold" w:hAnsi="Theinhardt Bold"/>
          <w:b/>
          <w:color w:val="231F20"/>
          <w:spacing w:val="-6"/>
          <w:sz w:val="18"/>
        </w:rPr>
        <w:t> </w:t>
      </w:r>
      <w:r>
        <w:rPr>
          <w:rFonts w:ascii="Theinhardt Bold" w:hAnsi="Theinhardt Bold"/>
          <w:b/>
          <w:color w:val="231F20"/>
          <w:sz w:val="18"/>
        </w:rPr>
        <w:t>deckt</w:t>
      </w:r>
      <w:r>
        <w:rPr>
          <w:rFonts w:ascii="Theinhardt Bold" w:hAnsi="Theinhardt Bold"/>
          <w:b/>
          <w:color w:val="231F20"/>
          <w:spacing w:val="-6"/>
          <w:sz w:val="18"/>
        </w:rPr>
        <w:t> </w:t>
      </w:r>
      <w:r>
        <w:rPr>
          <w:rFonts w:ascii="Theinhardt Bold" w:hAnsi="Theinhardt Bold"/>
          <w:b/>
          <w:color w:val="231F20"/>
          <w:sz w:val="18"/>
        </w:rPr>
        <w:t>diese</w:t>
      </w:r>
      <w:r>
        <w:rPr>
          <w:rFonts w:ascii="Theinhardt Bold" w:hAnsi="Theinhardt Bold"/>
          <w:b/>
          <w:color w:val="231F20"/>
          <w:spacing w:val="-6"/>
          <w:sz w:val="18"/>
        </w:rPr>
        <w:t> </w:t>
      </w:r>
      <w:r>
        <w:rPr>
          <w:rFonts w:ascii="Theinhardt Bold" w:hAnsi="Theinhardt Bold"/>
          <w:b/>
          <w:color w:val="231F20"/>
          <w:spacing w:val="-1"/>
          <w:sz w:val="18"/>
        </w:rPr>
        <w:t>fast</w:t>
      </w:r>
      <w:r>
        <w:rPr>
          <w:rFonts w:ascii="Theinhardt Bold" w:hAnsi="Theinhardt Bold"/>
          <w:b/>
          <w:color w:val="231F20"/>
          <w:spacing w:val="-6"/>
          <w:sz w:val="18"/>
        </w:rPr>
        <w:t> </w:t>
      </w:r>
      <w:r>
        <w:rPr>
          <w:rFonts w:ascii="Theinhardt Bold" w:hAnsi="Theinhardt Bold"/>
          <w:b/>
          <w:color w:val="231F20"/>
          <w:spacing w:val="-1"/>
          <w:sz w:val="18"/>
        </w:rPr>
        <w:t>ausschliess-</w:t>
      </w:r>
      <w:r>
        <w:rPr>
          <w:rFonts w:ascii="Theinhardt Bold" w:hAnsi="Theinhardt Bold"/>
          <w:b/>
          <w:color w:val="231F20"/>
          <w:spacing w:val="70"/>
          <w:sz w:val="18"/>
        </w:rPr>
        <w:t> </w:t>
      </w:r>
      <w:r>
        <w:rPr>
          <w:rFonts w:ascii="Theinhardt Bold" w:hAnsi="Theinhardt Bold"/>
          <w:b/>
          <w:color w:val="231F20"/>
          <w:spacing w:val="-1"/>
          <w:sz w:val="18"/>
        </w:rPr>
        <w:t>lich</w:t>
      </w:r>
      <w:r>
        <w:rPr>
          <w:rFonts w:ascii="Theinhardt Bold" w:hAnsi="Theinhardt Bold"/>
          <w:b/>
          <w:color w:val="231F20"/>
          <w:sz w:val="18"/>
        </w:rPr>
        <w:t> aus erneuerbaren Ressourcen.</w:t>
      </w:r>
      <w:r>
        <w:rPr>
          <w:rFonts w:ascii="Theinhardt Bold" w:hAnsi="Theinhardt Bold"/>
          <w:b/>
          <w:color w:val="231F20"/>
          <w:spacing w:val="-8"/>
          <w:sz w:val="18"/>
        </w:rPr>
        <w:t> </w:t>
      </w:r>
      <w:r>
        <w:rPr>
          <w:rFonts w:ascii="Theinhardt Bold" w:hAnsi="Theinhardt Bold"/>
          <w:b/>
          <w:color w:val="231F20"/>
          <w:sz w:val="18"/>
        </w:rPr>
        <w:t>Es erhält deshalb </w:t>
      </w:r>
      <w:r>
        <w:rPr>
          <w:rFonts w:ascii="Theinhardt Bold" w:hAnsi="Theinhardt Bold"/>
          <w:b/>
          <w:color w:val="231F20"/>
          <w:spacing w:val="-1"/>
          <w:sz w:val="18"/>
        </w:rPr>
        <w:t>den</w:t>
      </w:r>
      <w:r>
        <w:rPr>
          <w:rFonts w:ascii="Theinhardt Bold" w:hAnsi="Theinhardt Bold"/>
          <w:b/>
          <w:color w:val="231F20"/>
          <w:sz w:val="18"/>
        </w:rPr>
        <w:t> </w:t>
      </w:r>
      <w:r>
        <w:rPr>
          <w:rFonts w:ascii="Theinhardt Bold" w:hAnsi="Theinhardt Bold"/>
          <w:b/>
          <w:color w:val="231F20"/>
          <w:spacing w:val="-1"/>
          <w:sz w:val="18"/>
        </w:rPr>
        <w:t>HEV-Sondersolarpreis</w:t>
      </w:r>
      <w:r>
        <w:rPr>
          <w:rFonts w:ascii="Theinhardt Bold" w:hAnsi="Theinhardt Bold"/>
          <w:b/>
          <w:color w:val="231F20"/>
          <w:sz w:val="18"/>
        </w:rPr>
        <w:t> 2018.</w:t>
      </w:r>
      <w:r>
        <w:rPr>
          <w:rFonts w:ascii="Theinhardt Bold" w:hAnsi="Theinhardt Bold"/>
          <w:sz w:val="18"/>
        </w:rPr>
      </w:r>
    </w:p>
    <w:p>
      <w:pPr>
        <w:spacing w:after="0" w:line="230" w:lineRule="exact"/>
        <w:jc w:val="both"/>
        <w:rPr>
          <w:rFonts w:ascii="Theinhardt Bold" w:hAnsi="Theinhardt Bold" w:cs="Theinhardt Bold" w:eastAsia="Theinhardt Bold"/>
          <w:sz w:val="18"/>
          <w:szCs w:val="18"/>
        </w:rPr>
        <w:sectPr>
          <w:type w:val="continuous"/>
          <w:pgSz w:w="12250" w:h="17180"/>
          <w:pgMar w:top="1000" w:bottom="280" w:left="620" w:right="900"/>
          <w:cols w:num="2" w:equalWidth="0">
            <w:col w:w="2557" w:space="122"/>
            <w:col w:w="8051"/>
          </w:cols>
        </w:sect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12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before="5"/>
        <w:ind w:left="117" w:right="0" w:firstLine="0"/>
        <w:jc w:val="left"/>
        <w:rPr>
          <w:rFonts w:ascii="Theinhardt Black" w:hAnsi="Theinhardt Black" w:cs="Theinhardt Black" w:eastAsia="Theinhardt Black"/>
          <w:sz w:val="40"/>
          <w:szCs w:val="40"/>
        </w:rPr>
      </w:pPr>
      <w:r>
        <w:rPr>
          <w:rFonts w:ascii="Theinhardt Black"/>
          <w:b/>
          <w:color w:val="0067B1"/>
          <w:sz w:val="40"/>
        </w:rPr>
        <w:t>REFH-Sanierung</w:t>
      </w:r>
      <w:r>
        <w:rPr>
          <w:rFonts w:ascii="Theinhardt Black"/>
          <w:b/>
          <w:color w:val="0067B1"/>
          <w:spacing w:val="-24"/>
          <w:sz w:val="40"/>
        </w:rPr>
        <w:t> </w:t>
      </w:r>
      <w:r>
        <w:rPr>
          <w:rFonts w:ascii="Theinhardt Black"/>
          <w:b/>
          <w:color w:val="0067B1"/>
          <w:spacing w:val="-26"/>
          <w:sz w:val="40"/>
        </w:rPr>
        <w:t>T</w:t>
      </w:r>
      <w:r>
        <w:rPr>
          <w:rFonts w:ascii="Theinhardt Black"/>
          <w:b/>
          <w:color w:val="0067B1"/>
          <w:spacing w:val="1"/>
          <w:sz w:val="40"/>
        </w:rPr>
        <w:t>o</w:t>
      </w:r>
      <w:r>
        <w:rPr>
          <w:rFonts w:ascii="Theinhardt Black"/>
          <w:b/>
          <w:color w:val="0067B1"/>
          <w:spacing w:val="8"/>
          <w:sz w:val="40"/>
        </w:rPr>
        <w:t>rr</w:t>
      </w:r>
      <w:r>
        <w:rPr>
          <w:rFonts w:ascii="Theinhardt Black"/>
          <w:b/>
          <w:color w:val="0067B1"/>
          <w:spacing w:val="14"/>
          <w:sz w:val="40"/>
        </w:rPr>
        <w:t>e</w:t>
      </w:r>
      <w:r>
        <w:rPr>
          <w:rFonts w:ascii="Theinhardt Black"/>
          <w:b/>
          <w:color w:val="0067B1"/>
          <w:sz w:val="40"/>
        </w:rPr>
        <w:t>s </w:t>
      </w:r>
      <w:r>
        <w:rPr>
          <w:rFonts w:ascii="Theinhardt Black"/>
          <w:b/>
          <w:color w:val="0067B1"/>
          <w:spacing w:val="2"/>
          <w:sz w:val="40"/>
        </w:rPr>
        <w:t>Nova,</w:t>
      </w:r>
      <w:r>
        <w:rPr>
          <w:rFonts w:ascii="Theinhardt Black"/>
          <w:b/>
          <w:color w:val="0067B1"/>
          <w:spacing w:val="-25"/>
          <w:sz w:val="40"/>
        </w:rPr>
        <w:t> </w:t>
      </w:r>
      <w:r>
        <w:rPr>
          <w:rFonts w:ascii="Theinhardt Black"/>
          <w:b/>
          <w:color w:val="0067B1"/>
          <w:sz w:val="40"/>
        </w:rPr>
        <w:t>6300 </w:t>
      </w:r>
      <w:r>
        <w:rPr>
          <w:rFonts w:ascii="Theinhardt Black"/>
          <w:b/>
          <w:color w:val="0067B1"/>
          <w:spacing w:val="2"/>
          <w:sz w:val="40"/>
        </w:rPr>
        <w:t>Zug/ZG</w:t>
      </w:r>
      <w:r>
        <w:rPr>
          <w:rFonts w:ascii="Theinhardt Black"/>
          <w:sz w:val="40"/>
        </w:rPr>
      </w:r>
    </w:p>
    <w:p>
      <w:pPr>
        <w:spacing w:line="240" w:lineRule="auto" w:before="1"/>
        <w:rPr>
          <w:rFonts w:ascii="Theinhardt Black" w:hAnsi="Theinhardt Black" w:cs="Theinhardt Black" w:eastAsia="Theinhardt Black"/>
          <w:b/>
          <w:bCs/>
          <w:sz w:val="22"/>
          <w:szCs w:val="22"/>
        </w:rPr>
      </w:pPr>
    </w:p>
    <w:p>
      <w:pPr>
        <w:spacing w:after="0" w:line="240" w:lineRule="auto"/>
        <w:rPr>
          <w:rFonts w:ascii="Theinhardt Black" w:hAnsi="Theinhardt Black" w:cs="Theinhardt Black" w:eastAsia="Theinhardt Black"/>
          <w:sz w:val="22"/>
          <w:szCs w:val="22"/>
        </w:rPr>
        <w:sectPr>
          <w:type w:val="continuous"/>
          <w:pgSz w:w="12250" w:h="17180"/>
          <w:pgMar w:top="1000" w:bottom="280" w:left="620" w:right="900"/>
        </w:sectPr>
      </w:pPr>
    </w:p>
    <w:p>
      <w:pPr>
        <w:pStyle w:val="Heading1"/>
        <w:spacing w:line="230" w:lineRule="exact" w:before="74"/>
        <w:ind w:right="0"/>
        <w:jc w:val="both"/>
      </w:pPr>
      <w:r>
        <w:rPr>
          <w:color w:val="383638"/>
        </w:rPr>
        <w:t>Am Ende der </w:t>
      </w:r>
      <w:r>
        <w:rPr>
          <w:color w:val="383638"/>
          <w:spacing w:val="-1"/>
        </w:rPr>
        <w:t>Göblistrasse</w:t>
      </w:r>
      <w:r>
        <w:rPr>
          <w:color w:val="383638"/>
        </w:rPr>
        <w:t> in Zug steht eine</w:t>
      </w:r>
      <w:r>
        <w:rPr>
          <w:color w:val="383638"/>
          <w:spacing w:val="20"/>
        </w:rPr>
        <w:t> </w:t>
      </w:r>
      <w:r>
        <w:rPr>
          <w:color w:val="383638"/>
        </w:rPr>
        <w:t>Siedlung</w:t>
      </w:r>
      <w:r>
        <w:rPr>
          <w:color w:val="383638"/>
          <w:spacing w:val="-10"/>
        </w:rPr>
        <w:t> </w:t>
      </w:r>
      <w:r>
        <w:rPr>
          <w:color w:val="383638"/>
        </w:rPr>
        <w:t>von</w:t>
      </w:r>
      <w:r>
        <w:rPr>
          <w:color w:val="383638"/>
          <w:spacing w:val="-10"/>
        </w:rPr>
        <w:t> </w:t>
      </w:r>
      <w:r>
        <w:rPr>
          <w:color w:val="383638"/>
        </w:rPr>
        <w:t>vier</w:t>
      </w:r>
      <w:r>
        <w:rPr>
          <w:color w:val="383638"/>
          <w:spacing w:val="-10"/>
        </w:rPr>
        <w:t> </w:t>
      </w:r>
      <w:r>
        <w:rPr>
          <w:color w:val="383638"/>
          <w:spacing w:val="-1"/>
        </w:rPr>
        <w:t>Reihenhäusern</w:t>
      </w:r>
      <w:r>
        <w:rPr>
          <w:color w:val="383638"/>
          <w:spacing w:val="-10"/>
        </w:rPr>
        <w:t> </w:t>
      </w:r>
      <w:r>
        <w:rPr>
          <w:color w:val="383638"/>
        </w:rPr>
        <w:t>mit</w:t>
      </w:r>
      <w:r>
        <w:rPr>
          <w:color w:val="383638"/>
          <w:spacing w:val="-10"/>
        </w:rPr>
        <w:t> </w:t>
      </w:r>
      <w:r>
        <w:rPr>
          <w:color w:val="383638"/>
          <w:spacing w:val="-1"/>
        </w:rPr>
        <w:t>jeweils</w:t>
      </w:r>
      <w:r>
        <w:rPr>
          <w:color w:val="383638"/>
          <w:spacing w:val="34"/>
        </w:rPr>
        <w:t> </w:t>
      </w:r>
      <w:r>
        <w:rPr>
          <w:color w:val="383638"/>
        </w:rPr>
        <w:t>fünf</w:t>
      </w:r>
      <w:r>
        <w:rPr>
          <w:color w:val="383638"/>
          <w:spacing w:val="23"/>
        </w:rPr>
        <w:t> </w:t>
      </w:r>
      <w:r>
        <w:rPr>
          <w:color w:val="383638"/>
          <w:spacing w:val="-1"/>
        </w:rPr>
        <w:t>Wohneinheiten.</w:t>
      </w:r>
      <w:r>
        <w:rPr>
          <w:color w:val="383638"/>
          <w:spacing w:val="13"/>
        </w:rPr>
        <w:t> </w:t>
      </w:r>
      <w:r>
        <w:rPr>
          <w:color w:val="383638"/>
          <w:spacing w:val="-1"/>
        </w:rPr>
        <w:t>Diese</w:t>
      </w:r>
      <w:r>
        <w:rPr>
          <w:color w:val="383638"/>
          <w:spacing w:val="24"/>
        </w:rPr>
        <w:t> </w:t>
      </w:r>
      <w:r>
        <w:rPr>
          <w:color w:val="383638"/>
        </w:rPr>
        <w:t>kleine</w:t>
      </w:r>
      <w:r>
        <w:rPr>
          <w:color w:val="383638"/>
          <w:spacing w:val="23"/>
        </w:rPr>
        <w:t> </w:t>
      </w:r>
      <w:r>
        <w:rPr>
          <w:color w:val="383638"/>
        </w:rPr>
        <w:t>Siedlung</w:t>
      </w:r>
      <w:r>
        <w:rPr>
          <w:color w:val="383638"/>
          <w:spacing w:val="28"/>
        </w:rPr>
        <w:t> </w:t>
      </w:r>
      <w:r>
        <w:rPr>
          <w:color w:val="383638"/>
          <w:spacing w:val="-2"/>
        </w:rPr>
        <w:t>wurde</w:t>
      </w:r>
      <w:r>
        <w:rPr>
          <w:color w:val="383638"/>
          <w:spacing w:val="27"/>
        </w:rPr>
        <w:t> </w:t>
      </w:r>
      <w:r>
        <w:rPr>
          <w:color w:val="383638"/>
        </w:rPr>
        <w:t>im</w:t>
      </w:r>
      <w:r>
        <w:rPr>
          <w:color w:val="383638"/>
          <w:spacing w:val="28"/>
        </w:rPr>
        <w:t> </w:t>
      </w:r>
      <w:r>
        <w:rPr>
          <w:color w:val="383638"/>
        </w:rPr>
        <w:t>Jahr</w:t>
      </w:r>
      <w:r>
        <w:rPr>
          <w:color w:val="383638"/>
          <w:spacing w:val="27"/>
        </w:rPr>
        <w:t> </w:t>
      </w:r>
      <w:r>
        <w:rPr>
          <w:color w:val="383638"/>
        </w:rPr>
        <w:t>1935</w:t>
      </w:r>
      <w:r>
        <w:rPr>
          <w:color w:val="383638"/>
          <w:spacing w:val="28"/>
        </w:rPr>
        <w:t> </w:t>
      </w:r>
      <w:r>
        <w:rPr>
          <w:color w:val="383638"/>
        </w:rPr>
        <w:t>erbaut</w:t>
      </w:r>
      <w:r>
        <w:rPr>
          <w:color w:val="383638"/>
          <w:spacing w:val="28"/>
        </w:rPr>
        <w:t> </w:t>
      </w:r>
      <w:r>
        <w:rPr>
          <w:color w:val="383638"/>
        </w:rPr>
        <w:t>und</w:t>
      </w:r>
      <w:r>
        <w:rPr>
          <w:color w:val="383638"/>
          <w:spacing w:val="27"/>
        </w:rPr>
        <w:t> </w:t>
      </w:r>
      <w:r>
        <w:rPr>
          <w:color w:val="383638"/>
        </w:rPr>
        <w:t>ist</w:t>
      </w:r>
      <w:r>
        <w:rPr>
          <w:color w:val="383638"/>
          <w:spacing w:val="28"/>
        </w:rPr>
        <w:t> </w:t>
      </w:r>
      <w:r>
        <w:rPr>
          <w:color w:val="383638"/>
        </w:rPr>
        <w:t>heute</w:t>
      </w:r>
      <w:r>
        <w:rPr>
          <w:color w:val="383638"/>
          <w:spacing w:val="24"/>
        </w:rPr>
        <w:t> </w:t>
      </w:r>
      <w:r>
        <w:rPr>
          <w:color w:val="383638"/>
        </w:rPr>
        <w:t>im</w:t>
      </w:r>
      <w:r>
        <w:rPr>
          <w:color w:val="383638"/>
          <w:spacing w:val="25"/>
        </w:rPr>
        <w:t> </w:t>
      </w:r>
      <w:r>
        <w:rPr>
          <w:color w:val="383638"/>
          <w:spacing w:val="-1"/>
        </w:rPr>
        <w:t>Inventar</w:t>
      </w:r>
      <w:r>
        <w:rPr>
          <w:color w:val="383638"/>
          <w:spacing w:val="26"/>
        </w:rPr>
        <w:t> </w:t>
      </w:r>
      <w:r>
        <w:rPr>
          <w:color w:val="383638"/>
        </w:rPr>
        <w:t>für</w:t>
      </w:r>
      <w:r>
        <w:rPr>
          <w:color w:val="383638"/>
          <w:spacing w:val="25"/>
        </w:rPr>
        <w:t> </w:t>
      </w:r>
      <w:r>
        <w:rPr>
          <w:color w:val="383638"/>
        </w:rPr>
        <w:t>schützenswerte</w:t>
      </w:r>
      <w:r>
        <w:rPr>
          <w:color w:val="383638"/>
          <w:spacing w:val="26"/>
        </w:rPr>
        <w:t> </w:t>
      </w:r>
      <w:r>
        <w:rPr>
          <w:color w:val="383638"/>
        </w:rPr>
        <w:t>Denkmäler</w:t>
      </w:r>
      <w:r>
        <w:rPr>
          <w:color w:val="383638"/>
          <w:spacing w:val="27"/>
        </w:rPr>
        <w:t> </w:t>
      </w:r>
      <w:r>
        <w:rPr>
          <w:color w:val="383638"/>
        </w:rPr>
        <w:t>aufgeführt.</w:t>
      </w:r>
      <w:r>
        <w:rPr/>
      </w:r>
    </w:p>
    <w:p>
      <w:pPr>
        <w:pStyle w:val="BodyText"/>
        <w:spacing w:line="230" w:lineRule="exact" w:before="74"/>
        <w:ind w:right="0"/>
        <w:jc w:val="both"/>
        <w:rPr>
          <w:i w:val="0"/>
        </w:rPr>
      </w:pPr>
      <w:r>
        <w:rPr>
          <w:i w:val="0"/>
        </w:rPr>
        <w:br w:type="column"/>
      </w:r>
      <w:r>
        <w:rPr>
          <w:color w:val="383638"/>
        </w:rPr>
        <w:t>Au</w:t>
      </w:r>
      <w:r>
        <w:rPr>
          <w:color w:val="383638"/>
          <w:spacing w:val="8"/>
        </w:rPr>
        <w:t> </w:t>
      </w:r>
      <w:r>
        <w:rPr>
          <w:color w:val="383638"/>
        </w:rPr>
        <w:t>bout</w:t>
      </w:r>
      <w:r>
        <w:rPr>
          <w:color w:val="383638"/>
          <w:spacing w:val="8"/>
        </w:rPr>
        <w:t> </w:t>
      </w:r>
      <w:r>
        <w:rPr>
          <w:color w:val="383638"/>
          <w:spacing w:val="-2"/>
        </w:rPr>
        <w:t>de</w:t>
      </w:r>
      <w:r>
        <w:rPr>
          <w:color w:val="383638"/>
          <w:spacing w:val="8"/>
        </w:rPr>
        <w:t> </w:t>
      </w:r>
      <w:r>
        <w:rPr>
          <w:color w:val="383638"/>
        </w:rPr>
        <w:t>la</w:t>
      </w:r>
      <w:r>
        <w:rPr>
          <w:color w:val="383638"/>
          <w:spacing w:val="8"/>
        </w:rPr>
        <w:t> </w:t>
      </w:r>
      <w:r>
        <w:rPr>
          <w:color w:val="383638"/>
        </w:rPr>
        <w:t>Göblistrasse</w:t>
      </w:r>
      <w:r>
        <w:rPr>
          <w:color w:val="383638"/>
          <w:spacing w:val="8"/>
        </w:rPr>
        <w:t> </w:t>
      </w:r>
      <w:r>
        <w:rPr>
          <w:color w:val="383638"/>
        </w:rPr>
        <w:t>à</w:t>
      </w:r>
      <w:r>
        <w:rPr>
          <w:color w:val="383638"/>
          <w:spacing w:val="8"/>
        </w:rPr>
        <w:t> </w:t>
      </w:r>
      <w:r>
        <w:rPr>
          <w:color w:val="383638"/>
          <w:spacing w:val="-2"/>
        </w:rPr>
        <w:t>Zoug</w:t>
      </w:r>
      <w:r>
        <w:rPr>
          <w:color w:val="383638"/>
          <w:spacing w:val="8"/>
        </w:rPr>
        <w:t> </w:t>
      </w:r>
      <w:r>
        <w:rPr>
          <w:color w:val="383638"/>
          <w:spacing w:val="-1"/>
        </w:rPr>
        <w:t>se</w:t>
      </w:r>
      <w:r>
        <w:rPr>
          <w:color w:val="383638"/>
          <w:spacing w:val="8"/>
        </w:rPr>
        <w:t> </w:t>
      </w:r>
      <w:r>
        <w:rPr>
          <w:color w:val="383638"/>
          <w:spacing w:val="-2"/>
        </w:rPr>
        <w:t>trouve</w:t>
      </w:r>
      <w:r>
        <w:rPr>
          <w:color w:val="383638"/>
          <w:spacing w:val="21"/>
        </w:rPr>
        <w:t> </w:t>
      </w:r>
      <w:r>
        <w:rPr>
          <w:color w:val="383638"/>
        </w:rPr>
        <w:t>un</w:t>
      </w:r>
      <w:r>
        <w:rPr>
          <w:color w:val="383638"/>
          <w:spacing w:val="-15"/>
        </w:rPr>
        <w:t> </w:t>
      </w:r>
      <w:r>
        <w:rPr>
          <w:color w:val="383638"/>
          <w:spacing w:val="-1"/>
        </w:rPr>
        <w:t>lotissement</w:t>
      </w:r>
      <w:r>
        <w:rPr>
          <w:color w:val="383638"/>
          <w:spacing w:val="-15"/>
        </w:rPr>
        <w:t> </w:t>
      </w:r>
      <w:r>
        <w:rPr>
          <w:color w:val="383638"/>
          <w:spacing w:val="-2"/>
        </w:rPr>
        <w:t>de</w:t>
      </w:r>
      <w:r>
        <w:rPr>
          <w:color w:val="383638"/>
          <w:spacing w:val="-15"/>
        </w:rPr>
        <w:t> </w:t>
      </w:r>
      <w:r>
        <w:rPr>
          <w:color w:val="383638"/>
          <w:spacing w:val="-1"/>
        </w:rPr>
        <w:t>quatre</w:t>
      </w:r>
      <w:r>
        <w:rPr>
          <w:color w:val="383638"/>
          <w:spacing w:val="-15"/>
        </w:rPr>
        <w:t> </w:t>
      </w:r>
      <w:r>
        <w:rPr>
          <w:color w:val="383638"/>
          <w:spacing w:val="-1"/>
        </w:rPr>
        <w:t>bâtiments</w:t>
      </w:r>
      <w:r>
        <w:rPr>
          <w:color w:val="383638"/>
          <w:spacing w:val="-15"/>
        </w:rPr>
        <w:t> </w:t>
      </w:r>
      <w:r>
        <w:rPr>
          <w:color w:val="383638"/>
          <w:spacing w:val="-1"/>
        </w:rPr>
        <w:t>en</w:t>
      </w:r>
      <w:r>
        <w:rPr>
          <w:color w:val="383638"/>
          <w:spacing w:val="-15"/>
        </w:rPr>
        <w:t> </w:t>
      </w:r>
      <w:r>
        <w:rPr>
          <w:color w:val="383638"/>
          <w:spacing w:val="-1"/>
        </w:rPr>
        <w:t>terras-</w:t>
      </w:r>
      <w:r>
        <w:rPr>
          <w:color w:val="383638"/>
          <w:spacing w:val="31"/>
        </w:rPr>
        <w:t> </w:t>
      </w:r>
      <w:r>
        <w:rPr>
          <w:color w:val="383638"/>
        </w:rPr>
        <w:t>ses,</w:t>
      </w:r>
      <w:r>
        <w:rPr>
          <w:color w:val="383638"/>
          <w:spacing w:val="-8"/>
        </w:rPr>
        <w:t> </w:t>
      </w:r>
      <w:r>
        <w:rPr>
          <w:color w:val="383638"/>
          <w:spacing w:val="-2"/>
        </w:rPr>
        <w:t>de</w:t>
      </w:r>
      <w:r>
        <w:rPr>
          <w:color w:val="383638"/>
        </w:rPr>
        <w:t> </w:t>
      </w:r>
      <w:r>
        <w:rPr>
          <w:color w:val="383638"/>
          <w:spacing w:val="-2"/>
        </w:rPr>
        <w:t>cinq</w:t>
      </w:r>
      <w:r>
        <w:rPr>
          <w:color w:val="383638"/>
        </w:rPr>
        <w:t> </w:t>
      </w:r>
      <w:r>
        <w:rPr>
          <w:color w:val="383638"/>
          <w:spacing w:val="-1"/>
        </w:rPr>
        <w:t>appartements chacun.</w:t>
      </w:r>
      <w:r>
        <w:rPr>
          <w:color w:val="383638"/>
          <w:spacing w:val="-8"/>
        </w:rPr>
        <w:t> </w:t>
      </w:r>
      <w:r>
        <w:rPr>
          <w:color w:val="383638"/>
        </w:rPr>
        <w:t>Construit</w:t>
      </w:r>
      <w:r>
        <w:rPr>
          <w:color w:val="383638"/>
          <w:spacing w:val="39"/>
        </w:rPr>
        <w:t> </w:t>
      </w:r>
      <w:r>
        <w:rPr>
          <w:color w:val="383638"/>
          <w:spacing w:val="-1"/>
        </w:rPr>
        <w:t>en</w:t>
      </w:r>
      <w:r>
        <w:rPr>
          <w:color w:val="383638"/>
          <w:spacing w:val="24"/>
        </w:rPr>
        <w:t> </w:t>
      </w:r>
      <w:r>
        <w:rPr>
          <w:color w:val="383638"/>
        </w:rPr>
        <w:t>1935,</w:t>
      </w:r>
      <w:r>
        <w:rPr>
          <w:color w:val="383638"/>
          <w:spacing w:val="17"/>
        </w:rPr>
        <w:t> </w:t>
      </w:r>
      <w:r>
        <w:rPr>
          <w:color w:val="383638"/>
        </w:rPr>
        <w:t>il</w:t>
      </w:r>
      <w:r>
        <w:rPr>
          <w:color w:val="383638"/>
          <w:spacing w:val="24"/>
        </w:rPr>
        <w:t> </w:t>
      </w:r>
      <w:r>
        <w:rPr>
          <w:color w:val="383638"/>
          <w:spacing w:val="-2"/>
        </w:rPr>
        <w:t>figure</w:t>
      </w:r>
      <w:r>
        <w:rPr>
          <w:color w:val="383638"/>
          <w:spacing w:val="25"/>
        </w:rPr>
        <w:t> </w:t>
      </w:r>
      <w:r>
        <w:rPr>
          <w:color w:val="383638"/>
          <w:spacing w:val="-1"/>
        </w:rPr>
        <w:t>aujourd’hui</w:t>
      </w:r>
      <w:r>
        <w:rPr>
          <w:color w:val="383638"/>
          <w:spacing w:val="24"/>
        </w:rPr>
        <w:t> </w:t>
      </w:r>
      <w:r>
        <w:rPr>
          <w:color w:val="383638"/>
        </w:rPr>
        <w:t>à</w:t>
      </w:r>
      <w:r>
        <w:rPr>
          <w:color w:val="383638"/>
          <w:spacing w:val="25"/>
        </w:rPr>
        <w:t> </w:t>
      </w:r>
      <w:r>
        <w:rPr>
          <w:color w:val="383638"/>
          <w:spacing w:val="-1"/>
        </w:rPr>
        <w:t>l’inventaire</w:t>
      </w:r>
      <w:r>
        <w:rPr>
          <w:color w:val="383638"/>
          <w:spacing w:val="33"/>
        </w:rPr>
        <w:t> </w:t>
      </w:r>
      <w:r>
        <w:rPr>
          <w:color w:val="383638"/>
          <w:spacing w:val="-1"/>
        </w:rPr>
        <w:t>des</w:t>
      </w:r>
      <w:r>
        <w:rPr>
          <w:color w:val="383638"/>
        </w:rPr>
        <w:t> </w:t>
      </w:r>
      <w:r>
        <w:rPr>
          <w:color w:val="383638"/>
          <w:spacing w:val="-1"/>
        </w:rPr>
        <w:t>monuments</w:t>
      </w:r>
      <w:r>
        <w:rPr>
          <w:color w:val="383638"/>
        </w:rPr>
        <w:t> </w:t>
      </w:r>
      <w:r>
        <w:rPr>
          <w:color w:val="383638"/>
          <w:spacing w:val="-1"/>
        </w:rPr>
        <w:t>historiques.</w:t>
      </w:r>
      <w:r>
        <w:rPr>
          <w:i w:val="0"/>
        </w:rPr>
      </w:r>
    </w:p>
    <w:p>
      <w:pPr>
        <w:pStyle w:val="BodyText"/>
        <w:spacing w:line="198" w:lineRule="exact" w:before="9"/>
        <w:ind w:left="343" w:right="0"/>
        <w:jc w:val="left"/>
        <w:rPr>
          <w:i w:val="0"/>
        </w:rPr>
      </w:pPr>
      <w:r>
        <w:rPr>
          <w:color w:val="383638"/>
        </w:rPr>
        <w:t>En</w:t>
      </w:r>
      <w:r>
        <w:rPr>
          <w:color w:val="383638"/>
          <w:spacing w:val="9"/>
        </w:rPr>
        <w:t> </w:t>
      </w:r>
      <w:r>
        <w:rPr>
          <w:color w:val="383638"/>
        </w:rPr>
        <w:t>1998,</w:t>
      </w:r>
      <w:r>
        <w:rPr>
          <w:color w:val="383638"/>
          <w:spacing w:val="2"/>
        </w:rPr>
        <w:t> </w:t>
      </w:r>
      <w:r>
        <w:rPr>
          <w:color w:val="383638"/>
        </w:rPr>
        <w:t>la</w:t>
      </w:r>
      <w:r>
        <w:rPr>
          <w:color w:val="383638"/>
          <w:spacing w:val="9"/>
        </w:rPr>
        <w:t> </w:t>
      </w:r>
      <w:r>
        <w:rPr>
          <w:color w:val="383638"/>
          <w:spacing w:val="-1"/>
        </w:rPr>
        <w:t>famille</w:t>
      </w:r>
      <w:r>
        <w:rPr>
          <w:color w:val="383638"/>
          <w:spacing w:val="1"/>
        </w:rPr>
        <w:t> </w:t>
      </w:r>
      <w:r>
        <w:rPr>
          <w:color w:val="383638"/>
          <w:spacing w:val="-4"/>
        </w:rPr>
        <w:t>Torres</w:t>
      </w:r>
      <w:r>
        <w:rPr>
          <w:color w:val="383638"/>
          <w:spacing w:val="9"/>
        </w:rPr>
        <w:t> </w:t>
      </w:r>
      <w:r>
        <w:rPr>
          <w:color w:val="383638"/>
          <w:spacing w:val="-1"/>
        </w:rPr>
        <w:t>Nova</w:t>
      </w:r>
      <w:r>
        <w:rPr>
          <w:color w:val="383638"/>
          <w:spacing w:val="9"/>
        </w:rPr>
        <w:t> </w:t>
      </w:r>
      <w:r>
        <w:rPr>
          <w:color w:val="383638"/>
        </w:rPr>
        <w:t>a</w:t>
      </w:r>
      <w:r>
        <w:rPr>
          <w:color w:val="383638"/>
          <w:spacing w:val="9"/>
        </w:rPr>
        <w:t> </w:t>
      </w:r>
      <w:r>
        <w:rPr>
          <w:color w:val="383638"/>
          <w:spacing w:val="-2"/>
        </w:rPr>
        <w:t>acheté</w:t>
      </w:r>
      <w:r>
        <w:rPr>
          <w:i w:val="0"/>
        </w:rPr>
      </w:r>
    </w:p>
    <w:p>
      <w:pPr>
        <w:spacing w:before="67"/>
        <w:ind w:left="117" w:right="0" w:firstLine="0"/>
        <w:jc w:val="left"/>
        <w:rPr>
          <w:rFonts w:ascii="Theinhardt Black" w:hAnsi="Theinhardt Black" w:cs="Theinhardt Black" w:eastAsia="Theinhardt Black"/>
          <w:sz w:val="14"/>
          <w:szCs w:val="14"/>
        </w:rPr>
      </w:pPr>
      <w:r>
        <w:rPr/>
        <w:br w:type="column"/>
      </w:r>
      <w:r>
        <w:rPr>
          <w:rFonts w:ascii="Theinhardt Black"/>
          <w:b/>
          <w:color w:val="231F20"/>
          <w:sz w:val="14"/>
        </w:rPr>
        <w:t>Technische </w:t>
      </w:r>
      <w:r>
        <w:rPr>
          <w:rFonts w:ascii="Theinhardt Black"/>
          <w:b/>
          <w:color w:val="231F20"/>
          <w:spacing w:val="1"/>
          <w:sz w:val="14"/>
        </w:rPr>
        <w:t>Daten</w:t>
      </w:r>
      <w:r>
        <w:rPr>
          <w:rFonts w:ascii="Theinhardt Black"/>
          <w:sz w:val="14"/>
        </w:rPr>
      </w:r>
    </w:p>
    <w:p>
      <w:pPr>
        <w:spacing w:line="240" w:lineRule="auto" w:before="10"/>
        <w:rPr>
          <w:rFonts w:ascii="Theinhardt Black" w:hAnsi="Theinhardt Black" w:cs="Theinhardt Black" w:eastAsia="Theinhardt Black"/>
          <w:b/>
          <w:bCs/>
          <w:sz w:val="2"/>
          <w:szCs w:val="2"/>
        </w:rPr>
      </w:pPr>
    </w:p>
    <w:p>
      <w:pPr>
        <w:spacing w:line="20" w:lineRule="atLeast"/>
        <w:ind w:left="117" w:right="0" w:firstLine="0"/>
        <w:rPr>
          <w:rFonts w:ascii="Theinhardt Black" w:hAnsi="Theinhardt Black" w:cs="Theinhardt Black" w:eastAsia="Theinhardt Black"/>
          <w:sz w:val="2"/>
          <w:szCs w:val="2"/>
        </w:rPr>
      </w:pPr>
      <w:r>
        <w:rPr>
          <w:rFonts w:ascii="Theinhardt Black" w:hAnsi="Theinhardt Black" w:cs="Theinhardt Black" w:eastAsia="Theinhardt Black"/>
          <w:sz w:val="2"/>
          <w:szCs w:val="2"/>
        </w:rPr>
        <w:pict>
          <v:group style="width:167.25pt;height:.45pt;mso-position-horizontal-relative:char;mso-position-vertical-relative:line" coordorigin="0,0" coordsize="3345,9">
            <v:group style="position:absolute;left:21;top:4;width:3311;height:2" coordorigin="21,4" coordsize="3311,2">
              <v:shape style="position:absolute;left:21;top:4;width:3311;height:2" coordorigin="21,4" coordsize="3311,0" path="m21,4l3332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3341;top:4;width:2;height:2" coordorigin="3341,4" coordsize="2,2">
              <v:shape style="position:absolute;left:3341;top:4;width:2;height:2" coordorigin="3341,4" coordsize="0,0" path="m3341,4l3341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lack" w:hAnsi="Theinhardt Black" w:cs="Theinhardt Black" w:eastAsia="Theinhardt Black"/>
          <w:sz w:val="2"/>
          <w:szCs w:val="2"/>
        </w:rPr>
      </w:r>
    </w:p>
    <w:p>
      <w:pPr>
        <w:spacing w:line="172" w:lineRule="exact" w:before="66"/>
        <w:ind w:left="117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t>Wärmedämmung</w:t>
      </w:r>
      <w:r>
        <w:rPr>
          <w:rFonts w:ascii="Theinhardt Bold" w:hAnsi="Theinhardt Bold"/>
          <w:sz w:val="14"/>
        </w:rPr>
      </w:r>
    </w:p>
    <w:p>
      <w:pPr>
        <w:tabs>
          <w:tab w:pos="1191" w:val="left" w:leader="none"/>
          <w:tab w:pos="2599" w:val="left" w:leader="none"/>
        </w:tabs>
        <w:spacing w:line="160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Wand:</w:t>
        <w:tab/>
        <w:t>24 cm   </w:t>
      </w:r>
      <w:r>
        <w:rPr>
          <w:rFonts w:ascii="Theinhardt Regular"/>
          <w:color w:val="231F20"/>
          <w:spacing w:val="30"/>
          <w:sz w:val="14"/>
        </w:rPr>
        <w:t> </w:t>
      </w:r>
      <w:r>
        <w:rPr>
          <w:rFonts w:ascii="Theinhardt Regular"/>
          <w:color w:val="231F20"/>
          <w:sz w:val="14"/>
        </w:rPr>
        <w:t>U-Wert:</w:t>
        <w:tab/>
        <w:t>0.13</w:t>
      </w:r>
      <w:r>
        <w:rPr>
          <w:rFonts w:ascii="Theinhardt Regular"/>
          <w:color w:val="231F20"/>
          <w:spacing w:val="1"/>
          <w:sz w:val="14"/>
        </w:rPr>
        <w:t> </w:t>
      </w:r>
      <w:r>
        <w:rPr>
          <w:rFonts w:ascii="Theinhardt Regular"/>
          <w:color w:val="231F20"/>
          <w:sz w:val="14"/>
        </w:rPr>
        <w:t>W/m</w:t>
      </w:r>
      <w:r>
        <w:rPr>
          <w:rFonts w:ascii="Theinhardt Regular"/>
          <w:color w:val="231F20"/>
          <w:position w:val="5"/>
          <w:sz w:val="8"/>
        </w:rPr>
        <w:t>2</w:t>
      </w:r>
      <w:r>
        <w:rPr>
          <w:rFonts w:ascii="Theinhardt Regular"/>
          <w:color w:val="231F20"/>
          <w:sz w:val="14"/>
        </w:rPr>
        <w:t>K</w:t>
      </w:r>
      <w:r>
        <w:rPr>
          <w:rFonts w:ascii="Theinhardt Regular"/>
          <w:sz w:val="14"/>
        </w:rPr>
      </w:r>
    </w:p>
    <w:p>
      <w:pPr>
        <w:tabs>
          <w:tab w:pos="1191" w:val="left" w:leader="none"/>
          <w:tab w:pos="2606" w:val="left" w:leader="none"/>
        </w:tabs>
        <w:spacing w:line="160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Dach:</w:t>
        <w:tab/>
      </w:r>
      <w:r>
        <w:rPr>
          <w:rFonts w:ascii="Theinhardt Regular"/>
          <w:color w:val="231F20"/>
          <w:spacing w:val="-1"/>
          <w:sz w:val="14"/>
        </w:rPr>
        <w:t>26</w:t>
      </w:r>
      <w:r>
        <w:rPr>
          <w:rFonts w:ascii="Theinhardt Regular"/>
          <w:color w:val="231F20"/>
          <w:sz w:val="14"/>
        </w:rPr>
        <w:t> cm   </w:t>
      </w:r>
      <w:r>
        <w:rPr>
          <w:rFonts w:ascii="Theinhardt Regular"/>
          <w:color w:val="231F20"/>
          <w:spacing w:val="30"/>
          <w:sz w:val="14"/>
        </w:rPr>
        <w:t> </w:t>
      </w:r>
      <w:r>
        <w:rPr>
          <w:rFonts w:ascii="Theinhardt Regular"/>
          <w:color w:val="231F20"/>
          <w:sz w:val="14"/>
        </w:rPr>
        <w:t>U-Wert:</w:t>
        <w:tab/>
      </w:r>
      <w:r>
        <w:rPr>
          <w:rFonts w:ascii="Theinhardt Regular"/>
          <w:color w:val="231F20"/>
          <w:spacing w:val="-2"/>
          <w:sz w:val="14"/>
        </w:rPr>
        <w:t>0.16</w:t>
      </w:r>
      <w:r>
        <w:rPr>
          <w:rFonts w:ascii="Theinhardt Regular"/>
          <w:color w:val="231F20"/>
          <w:spacing w:val="1"/>
          <w:sz w:val="14"/>
        </w:rPr>
        <w:t> </w:t>
      </w:r>
      <w:r>
        <w:rPr>
          <w:rFonts w:ascii="Theinhardt Regular"/>
          <w:color w:val="231F20"/>
          <w:sz w:val="14"/>
        </w:rPr>
        <w:t>W/m</w:t>
      </w:r>
      <w:r>
        <w:rPr>
          <w:rFonts w:ascii="Theinhardt Regular"/>
          <w:color w:val="231F20"/>
          <w:position w:val="5"/>
          <w:sz w:val="8"/>
        </w:rPr>
        <w:t>2</w:t>
      </w:r>
      <w:r>
        <w:rPr>
          <w:rFonts w:ascii="Theinhardt Regular"/>
          <w:color w:val="231F20"/>
          <w:sz w:val="14"/>
        </w:rPr>
        <w:t>K</w:t>
      </w:r>
      <w:r>
        <w:rPr>
          <w:rFonts w:ascii="Theinhardt Regular"/>
          <w:sz w:val="14"/>
        </w:rPr>
      </w:r>
    </w:p>
    <w:p>
      <w:pPr>
        <w:tabs>
          <w:tab w:pos="1089" w:val="left" w:leader="none"/>
          <w:tab w:pos="2606" w:val="left" w:leader="none"/>
        </w:tabs>
        <w:spacing w:line="207" w:lineRule="auto" w:before="5"/>
        <w:ind w:left="117" w:right="223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Boden:</w:t>
        <w:tab/>
        <w:t>15 </w:t>
      </w:r>
      <w:r>
        <w:rPr>
          <w:rFonts w:ascii="Theinhardt Regular"/>
          <w:color w:val="231F20"/>
          <w:spacing w:val="1"/>
          <w:sz w:val="14"/>
        </w:rPr>
        <w:t>cm</w:t>
      </w:r>
      <w:r>
        <w:rPr>
          <w:rFonts w:ascii="Theinhardt Regular"/>
          <w:color w:val="231F20"/>
          <w:sz w:val="14"/>
        </w:rPr>
        <w:t>   </w:t>
      </w:r>
      <w:r>
        <w:rPr>
          <w:rFonts w:ascii="Theinhardt Regular"/>
          <w:color w:val="231F20"/>
          <w:spacing w:val="30"/>
          <w:sz w:val="14"/>
        </w:rPr>
        <w:t> </w:t>
      </w:r>
      <w:r>
        <w:rPr>
          <w:rFonts w:ascii="Theinhardt Regular"/>
          <w:color w:val="231F20"/>
          <w:sz w:val="14"/>
        </w:rPr>
        <w:t>U-Wert:</w:t>
        <w:tab/>
      </w:r>
      <w:r>
        <w:rPr>
          <w:rFonts w:ascii="Theinhardt Regular"/>
          <w:color w:val="231F20"/>
          <w:spacing w:val="-2"/>
          <w:sz w:val="14"/>
        </w:rPr>
        <w:t>0.16</w:t>
      </w:r>
      <w:r>
        <w:rPr>
          <w:rFonts w:ascii="Theinhardt Regular"/>
          <w:color w:val="231F20"/>
          <w:spacing w:val="1"/>
          <w:sz w:val="14"/>
        </w:rPr>
        <w:t> </w:t>
      </w:r>
      <w:r>
        <w:rPr>
          <w:rFonts w:ascii="Theinhardt Regular"/>
          <w:color w:val="231F20"/>
          <w:sz w:val="14"/>
        </w:rPr>
        <w:t>W/m</w:t>
      </w:r>
      <w:r>
        <w:rPr>
          <w:rFonts w:ascii="Theinhardt Regular"/>
          <w:color w:val="231F20"/>
          <w:position w:val="5"/>
          <w:sz w:val="8"/>
        </w:rPr>
        <w:t>2</w:t>
      </w:r>
      <w:r>
        <w:rPr>
          <w:rFonts w:ascii="Theinhardt Regular"/>
          <w:color w:val="231F20"/>
          <w:sz w:val="14"/>
        </w:rPr>
        <w:t>K</w:t>
      </w:r>
      <w:r>
        <w:rPr>
          <w:rFonts w:ascii="Theinhardt Regular"/>
          <w:color w:val="231F20"/>
          <w:spacing w:val="21"/>
          <w:sz w:val="14"/>
        </w:rPr>
        <w:t> </w:t>
      </w:r>
      <w:r>
        <w:rPr>
          <w:rFonts w:ascii="Theinhardt Regular"/>
          <w:color w:val="231F20"/>
          <w:sz w:val="14"/>
        </w:rPr>
        <w:t>Fenster:</w:t>
        <w:tab/>
        <w:t>dreifach   </w:t>
      </w:r>
      <w:r>
        <w:rPr>
          <w:rFonts w:ascii="Theinhardt Regular"/>
          <w:color w:val="231F20"/>
          <w:spacing w:val="30"/>
          <w:sz w:val="14"/>
        </w:rPr>
        <w:t> </w:t>
      </w:r>
      <w:r>
        <w:rPr>
          <w:rFonts w:ascii="Theinhardt Regular"/>
          <w:color w:val="231F20"/>
          <w:sz w:val="14"/>
        </w:rPr>
        <w:t>U-Wert:</w:t>
        <w:tab/>
        <w:t>0.5 W/m</w:t>
      </w:r>
      <w:r>
        <w:rPr>
          <w:rFonts w:ascii="Theinhardt Regular"/>
          <w:color w:val="231F20"/>
          <w:position w:val="5"/>
          <w:sz w:val="8"/>
        </w:rPr>
        <w:t>2</w:t>
      </w:r>
      <w:r>
        <w:rPr>
          <w:rFonts w:ascii="Theinhardt Regular"/>
          <w:color w:val="231F20"/>
          <w:sz w:val="14"/>
        </w:rPr>
        <w:t>K</w:t>
      </w:r>
      <w:r>
        <w:rPr>
          <w:rFonts w:ascii="Theinhardt Regular"/>
          <w:sz w:val="14"/>
        </w:rPr>
      </w:r>
    </w:p>
    <w:p>
      <w:pPr>
        <w:spacing w:before="38"/>
        <w:ind w:left="117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Energiebedarf </w:t>
      </w:r>
      <w:r>
        <w:rPr>
          <w:rFonts w:ascii="Theinhardt Bold"/>
          <w:b/>
          <w:color w:val="231F20"/>
          <w:spacing w:val="1"/>
          <w:sz w:val="14"/>
        </w:rPr>
        <w:t>vor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Sanierung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-1"/>
          <w:sz w:val="14"/>
        </w:rPr>
        <w:t>(100%)</w:t>
      </w:r>
      <w:r>
        <w:rPr>
          <w:rFonts w:ascii="Theinhardt Bold"/>
          <w:sz w:val="14"/>
        </w:rPr>
      </w:r>
    </w:p>
    <w:p>
      <w:pPr>
        <w:spacing w:after="0"/>
        <w:jc w:val="left"/>
        <w:rPr>
          <w:rFonts w:ascii="Theinhardt Bold" w:hAnsi="Theinhardt Bold" w:cs="Theinhardt Bold" w:eastAsia="Theinhardt Bold"/>
          <w:sz w:val="14"/>
          <w:szCs w:val="14"/>
        </w:rPr>
        <w:sectPr>
          <w:type w:val="continuous"/>
          <w:pgSz w:w="12250" w:h="17180"/>
          <w:pgMar w:top="1000" w:bottom="280" w:left="620" w:right="900"/>
          <w:cols w:num="3" w:equalWidth="0">
            <w:col w:w="3463" w:space="109"/>
            <w:col w:w="3463" w:space="109"/>
            <w:col w:w="3586"/>
          </w:cols>
        </w:sectPr>
      </w:pPr>
    </w:p>
    <w:p>
      <w:pPr>
        <w:pStyle w:val="Heading1"/>
        <w:spacing w:line="130" w:lineRule="exact"/>
        <w:ind w:left="343" w:right="0"/>
        <w:jc w:val="left"/>
      </w:pPr>
      <w:r>
        <w:rPr>
          <w:color w:val="383638"/>
        </w:rPr>
        <w:t>1998</w:t>
      </w:r>
      <w:r>
        <w:rPr>
          <w:color w:val="383638"/>
          <w:spacing w:val="-8"/>
        </w:rPr>
        <w:t> </w:t>
      </w:r>
      <w:r>
        <w:rPr>
          <w:color w:val="383638"/>
          <w:spacing w:val="-2"/>
        </w:rPr>
        <w:t>konnte</w:t>
      </w:r>
      <w:r>
        <w:rPr>
          <w:color w:val="383638"/>
          <w:spacing w:val="-8"/>
        </w:rPr>
        <w:t> </w:t>
      </w:r>
      <w:r>
        <w:rPr>
          <w:color w:val="383638"/>
          <w:spacing w:val="-1"/>
        </w:rPr>
        <w:t>Familie</w:t>
      </w:r>
      <w:r>
        <w:rPr>
          <w:color w:val="383638"/>
          <w:spacing w:val="-23"/>
        </w:rPr>
        <w:t> </w:t>
      </w:r>
      <w:r>
        <w:rPr>
          <w:color w:val="383638"/>
          <w:spacing w:val="-4"/>
        </w:rPr>
        <w:t>Torres</w:t>
      </w:r>
      <w:r>
        <w:rPr>
          <w:color w:val="383638"/>
          <w:spacing w:val="-8"/>
        </w:rPr>
        <w:t> </w:t>
      </w:r>
      <w:r>
        <w:rPr>
          <w:color w:val="383638"/>
        </w:rPr>
        <w:t>Nova</w:t>
      </w:r>
      <w:r>
        <w:rPr>
          <w:color w:val="383638"/>
          <w:spacing w:val="-8"/>
        </w:rPr>
        <w:t> </w:t>
      </w:r>
      <w:r>
        <w:rPr>
          <w:color w:val="383638"/>
        </w:rPr>
        <w:t>ein</w:t>
      </w:r>
      <w:r>
        <w:rPr>
          <w:color w:val="383638"/>
          <w:spacing w:val="-8"/>
        </w:rPr>
        <w:t> </w:t>
      </w:r>
      <w:r>
        <w:rPr>
          <w:color w:val="383638"/>
        </w:rPr>
        <w:t>Mit-</w:t>
      </w:r>
      <w:r>
        <w:rPr/>
      </w:r>
    </w:p>
    <w:p>
      <w:pPr>
        <w:pStyle w:val="BodyText"/>
        <w:spacing w:line="130" w:lineRule="exact" w:before="9"/>
        <w:ind w:left="186" w:right="0"/>
        <w:jc w:val="left"/>
        <w:rPr>
          <w:i w:val="0"/>
        </w:rPr>
      </w:pPr>
      <w:r>
        <w:rPr>
          <w:i w:val="0"/>
        </w:rPr>
        <w:br w:type="column"/>
      </w:r>
      <w:r>
        <w:rPr>
          <w:color w:val="383638"/>
          <w:spacing w:val="-1"/>
        </w:rPr>
        <w:t>une</w:t>
      </w:r>
      <w:r>
        <w:rPr>
          <w:color w:val="383638"/>
          <w:spacing w:val="19"/>
        </w:rPr>
        <w:t> </w:t>
      </w:r>
      <w:r>
        <w:rPr>
          <w:color w:val="383638"/>
          <w:spacing w:val="-1"/>
        </w:rPr>
        <w:t>maison</w:t>
      </w:r>
      <w:r>
        <w:rPr>
          <w:color w:val="383638"/>
          <w:spacing w:val="19"/>
        </w:rPr>
        <w:t> </w:t>
      </w:r>
      <w:r>
        <w:rPr>
          <w:color w:val="383638"/>
          <w:spacing w:val="-2"/>
        </w:rPr>
        <w:t>contiguë.</w:t>
      </w:r>
      <w:r>
        <w:rPr>
          <w:color w:val="383638"/>
          <w:spacing w:val="12"/>
        </w:rPr>
        <w:t> </w:t>
      </w:r>
      <w:r>
        <w:rPr>
          <w:color w:val="383638"/>
        </w:rPr>
        <w:t>Quinze</w:t>
      </w:r>
      <w:r>
        <w:rPr>
          <w:color w:val="383638"/>
          <w:spacing w:val="19"/>
        </w:rPr>
        <w:t> </w:t>
      </w:r>
      <w:r>
        <w:rPr>
          <w:color w:val="383638"/>
        </w:rPr>
        <w:t>ans</w:t>
      </w:r>
      <w:r>
        <w:rPr>
          <w:color w:val="383638"/>
          <w:spacing w:val="19"/>
        </w:rPr>
        <w:t> </w:t>
      </w:r>
      <w:r>
        <w:rPr>
          <w:color w:val="383638"/>
        </w:rPr>
        <w:t>plus</w:t>
      </w:r>
      <w:r>
        <w:rPr>
          <w:color w:val="383638"/>
          <w:spacing w:val="19"/>
        </w:rPr>
        <w:t> </w:t>
      </w:r>
      <w:r>
        <w:rPr>
          <w:color w:val="383638"/>
          <w:spacing w:val="-1"/>
        </w:rPr>
        <w:t>tard,</w:t>
      </w:r>
      <w:r>
        <w:rPr>
          <w:i w:val="0"/>
        </w:rPr>
      </w:r>
    </w:p>
    <w:p>
      <w:pPr>
        <w:spacing w:line="134" w:lineRule="exact" w:before="0"/>
        <w:ind w:left="179" w:right="0" w:firstLine="0"/>
        <w:jc w:val="left"/>
        <w:rPr>
          <w:rFonts w:ascii="Theinhardt Regular" w:hAnsi="Theinhardt Regular" w:cs="Theinhardt Regular" w:eastAsia="Theinhardt Regular"/>
          <w:sz w:val="8"/>
          <w:szCs w:val="8"/>
        </w:rPr>
      </w:pPr>
      <w:r>
        <w:rPr/>
        <w:br w:type="column"/>
      </w:r>
      <w:r>
        <w:rPr>
          <w:rFonts w:ascii="Theinhardt Regular"/>
          <w:color w:val="231F20"/>
          <w:sz w:val="14"/>
        </w:rPr>
        <w:t>EBF: 99 m</w:t>
      </w:r>
      <w:r>
        <w:rPr>
          <w:rFonts w:ascii="Theinhardt Regular"/>
          <w:color w:val="231F20"/>
          <w:position w:val="5"/>
          <w:sz w:val="8"/>
        </w:rPr>
        <w:t>2</w:t>
      </w:r>
      <w:r>
        <w:rPr>
          <w:rFonts w:ascii="Theinhardt Regular"/>
          <w:sz w:val="8"/>
        </w:rPr>
      </w:r>
    </w:p>
    <w:p>
      <w:pPr>
        <w:tabs>
          <w:tab w:pos="1525" w:val="left" w:leader="none"/>
        </w:tabs>
        <w:spacing w:line="134" w:lineRule="exact" w:before="0"/>
        <w:ind w:left="343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/>
        <w:br w:type="column"/>
      </w:r>
      <w:r>
        <w:rPr>
          <w:rFonts w:ascii="Theinhardt Regular"/>
          <w:color w:val="231F20"/>
          <w:sz w:val="14"/>
        </w:rPr>
        <w:t>kWh/m</w:t>
      </w:r>
      <w:r>
        <w:rPr>
          <w:rFonts w:ascii="Theinhardt Regular"/>
          <w:color w:val="231F20"/>
          <w:position w:val="5"/>
          <w:sz w:val="8"/>
        </w:rPr>
        <w:t>2</w:t>
      </w:r>
      <w:r>
        <w:rPr>
          <w:rFonts w:ascii="Theinhardt Regular"/>
          <w:color w:val="231F20"/>
          <w:sz w:val="14"/>
        </w:rPr>
        <w:t>a    </w:t>
      </w:r>
      <w:r>
        <w:rPr>
          <w:rFonts w:ascii="Theinhardt Regular"/>
          <w:color w:val="231F20"/>
          <w:spacing w:val="2"/>
          <w:sz w:val="14"/>
        </w:rPr>
        <w:t> </w:t>
      </w:r>
      <w:r>
        <w:rPr>
          <w:rFonts w:ascii="Theinhardt Regular"/>
          <w:color w:val="231F20"/>
          <w:sz w:val="14"/>
        </w:rPr>
        <w:t>%</w:t>
        <w:tab/>
        <w:t>kWh/a</w:t>
      </w:r>
      <w:r>
        <w:rPr>
          <w:rFonts w:ascii="Theinhardt Regular"/>
          <w:sz w:val="14"/>
        </w:rPr>
      </w:r>
    </w:p>
    <w:p>
      <w:pPr>
        <w:spacing w:after="0" w:line="134" w:lineRule="exact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2250" w:h="17180"/>
          <w:pgMar w:top="1000" w:bottom="280" w:left="620" w:right="900"/>
          <w:cols w:num="4" w:equalWidth="0">
            <w:col w:w="3462" w:space="40"/>
            <w:col w:w="3539" w:space="40"/>
            <w:col w:w="870" w:space="627"/>
            <w:col w:w="2152"/>
          </w:cols>
        </w:sectPr>
      </w:pPr>
    </w:p>
    <w:p>
      <w:pPr>
        <w:pStyle w:val="Heading1"/>
        <w:spacing w:line="230" w:lineRule="exact" w:before="90"/>
        <w:ind w:right="8"/>
        <w:jc w:val="both"/>
      </w:pPr>
      <w:r>
        <w:rPr>
          <w:color w:val="383638"/>
        </w:rPr>
        <w:t>telhaus</w:t>
      </w:r>
      <w:r>
        <w:rPr>
          <w:color w:val="383638"/>
          <w:spacing w:val="10"/>
        </w:rPr>
        <w:t> </w:t>
      </w:r>
      <w:r>
        <w:rPr>
          <w:color w:val="383638"/>
        </w:rPr>
        <w:t>erwerben</w:t>
      </w:r>
      <w:r>
        <w:rPr>
          <w:color w:val="383638"/>
          <w:spacing w:val="10"/>
        </w:rPr>
        <w:t> </w:t>
      </w:r>
      <w:r>
        <w:rPr>
          <w:color w:val="383638"/>
        </w:rPr>
        <w:t>und</w:t>
      </w:r>
      <w:r>
        <w:rPr>
          <w:color w:val="383638"/>
          <w:spacing w:val="10"/>
        </w:rPr>
        <w:t> </w:t>
      </w:r>
      <w:r>
        <w:rPr>
          <w:color w:val="383638"/>
        </w:rPr>
        <w:t>15</w:t>
      </w:r>
      <w:r>
        <w:rPr>
          <w:color w:val="383638"/>
          <w:spacing w:val="10"/>
        </w:rPr>
        <w:t> </w:t>
      </w:r>
      <w:r>
        <w:rPr>
          <w:color w:val="383638"/>
          <w:spacing w:val="-2"/>
        </w:rPr>
        <w:t>Jahre</w:t>
      </w:r>
      <w:r>
        <w:rPr>
          <w:color w:val="383638"/>
          <w:spacing w:val="10"/>
        </w:rPr>
        <w:t> </w:t>
      </w:r>
      <w:r>
        <w:rPr>
          <w:color w:val="383638"/>
          <w:spacing w:val="-1"/>
        </w:rPr>
        <w:t>später</w:t>
      </w:r>
      <w:r>
        <w:rPr>
          <w:color w:val="383638"/>
          <w:spacing w:val="10"/>
        </w:rPr>
        <w:t> </w:t>
      </w:r>
      <w:r>
        <w:rPr>
          <w:color w:val="383638"/>
          <w:spacing w:val="-1"/>
        </w:rPr>
        <w:t>um-</w:t>
      </w:r>
      <w:r>
        <w:rPr>
          <w:color w:val="383638"/>
          <w:spacing w:val="31"/>
        </w:rPr>
        <w:t> </w:t>
      </w:r>
      <w:r>
        <w:rPr>
          <w:color w:val="383638"/>
          <w:spacing w:val="-1"/>
        </w:rPr>
        <w:t>fassend</w:t>
      </w:r>
      <w:r>
        <w:rPr>
          <w:color w:val="383638"/>
          <w:spacing w:val="15"/>
        </w:rPr>
        <w:t> </w:t>
      </w:r>
      <w:r>
        <w:rPr>
          <w:color w:val="383638"/>
        </w:rPr>
        <w:t>erneuern.</w:t>
      </w:r>
      <w:r>
        <w:rPr>
          <w:color w:val="383638"/>
          <w:spacing w:val="5"/>
        </w:rPr>
        <w:t> </w:t>
      </w:r>
      <w:r>
        <w:rPr>
          <w:color w:val="383638"/>
          <w:spacing w:val="1"/>
        </w:rPr>
        <w:t>Das </w:t>
      </w:r>
      <w:r>
        <w:rPr>
          <w:color w:val="383638"/>
          <w:spacing w:val="-2"/>
        </w:rPr>
        <w:t>Treppenhaus</w:t>
      </w:r>
      <w:r>
        <w:rPr>
          <w:color w:val="383638"/>
          <w:spacing w:val="15"/>
        </w:rPr>
        <w:t> </w:t>
      </w:r>
      <w:r>
        <w:rPr>
          <w:color w:val="383638"/>
          <w:spacing w:val="-2"/>
        </w:rPr>
        <w:t>wurde</w:t>
      </w:r>
      <w:r>
        <w:rPr>
          <w:color w:val="383638"/>
          <w:spacing w:val="28"/>
        </w:rPr>
        <w:t> </w:t>
      </w:r>
      <w:r>
        <w:rPr>
          <w:color w:val="383638"/>
        </w:rPr>
        <w:t>in</w:t>
      </w:r>
      <w:r>
        <w:rPr>
          <w:color w:val="383638"/>
          <w:spacing w:val="43"/>
        </w:rPr>
        <w:t> </w:t>
      </w:r>
      <w:r>
        <w:rPr>
          <w:color w:val="383638"/>
        </w:rPr>
        <w:t>einen</w:t>
      </w:r>
      <w:r>
        <w:rPr>
          <w:color w:val="383638"/>
          <w:spacing w:val="44"/>
        </w:rPr>
        <w:t> </w:t>
      </w:r>
      <w:r>
        <w:rPr>
          <w:color w:val="383638"/>
        </w:rPr>
        <w:t>Anbau</w:t>
      </w:r>
      <w:r>
        <w:rPr>
          <w:color w:val="383638"/>
          <w:spacing w:val="43"/>
        </w:rPr>
        <w:t> </w:t>
      </w:r>
      <w:r>
        <w:rPr>
          <w:color w:val="383638"/>
        </w:rPr>
        <w:t>ausgelagert</w:t>
      </w:r>
      <w:r>
        <w:rPr>
          <w:color w:val="383638"/>
          <w:spacing w:val="44"/>
        </w:rPr>
        <w:t> </w:t>
      </w:r>
      <w:r>
        <w:rPr>
          <w:color w:val="383638"/>
        </w:rPr>
        <w:t>und</w:t>
      </w:r>
      <w:r>
        <w:rPr>
          <w:color w:val="383638"/>
          <w:spacing w:val="44"/>
        </w:rPr>
        <w:t> </w:t>
      </w:r>
      <w:r>
        <w:rPr>
          <w:color w:val="383638"/>
        </w:rPr>
        <w:t>schaffte</w:t>
      </w:r>
      <w:r>
        <w:rPr>
          <w:color w:val="383638"/>
          <w:spacing w:val="29"/>
        </w:rPr>
        <w:t> </w:t>
      </w:r>
      <w:r>
        <w:rPr>
          <w:color w:val="383638"/>
          <w:spacing w:val="-1"/>
        </w:rPr>
        <w:t>dadurch</w:t>
      </w:r>
      <w:r>
        <w:rPr>
          <w:color w:val="383638"/>
          <w:spacing w:val="17"/>
        </w:rPr>
        <w:t> </w:t>
      </w:r>
      <w:r>
        <w:rPr>
          <w:color w:val="383638"/>
          <w:spacing w:val="1"/>
        </w:rPr>
        <w:t>Platz</w:t>
      </w:r>
      <w:r>
        <w:rPr>
          <w:color w:val="383638"/>
          <w:spacing w:val="17"/>
        </w:rPr>
        <w:t> </w:t>
      </w:r>
      <w:r>
        <w:rPr>
          <w:color w:val="383638"/>
        </w:rPr>
        <w:t>für</w:t>
      </w:r>
      <w:r>
        <w:rPr>
          <w:color w:val="383638"/>
          <w:spacing w:val="17"/>
        </w:rPr>
        <w:t> </w:t>
      </w:r>
      <w:r>
        <w:rPr>
          <w:color w:val="383638"/>
          <w:spacing w:val="-2"/>
        </w:rPr>
        <w:t>grosszügigere</w:t>
      </w:r>
      <w:r>
        <w:rPr>
          <w:color w:val="383638"/>
          <w:spacing w:val="17"/>
        </w:rPr>
        <w:t> </w:t>
      </w:r>
      <w:r>
        <w:rPr>
          <w:color w:val="383638"/>
        </w:rPr>
        <w:t>Räume</w:t>
      </w:r>
      <w:r>
        <w:rPr>
          <w:color w:val="383638"/>
          <w:spacing w:val="17"/>
        </w:rPr>
        <w:t> </w:t>
      </w:r>
      <w:r>
        <w:rPr>
          <w:color w:val="383638"/>
        </w:rPr>
        <w:t>im</w:t>
      </w:r>
      <w:r>
        <w:rPr>
          <w:color w:val="383638"/>
          <w:spacing w:val="25"/>
        </w:rPr>
        <w:t> </w:t>
      </w:r>
      <w:r>
        <w:rPr>
          <w:color w:val="383638"/>
        </w:rPr>
        <w:t>Unter-,</w:t>
      </w:r>
      <w:r>
        <w:rPr>
          <w:color w:val="383638"/>
          <w:spacing w:val="37"/>
        </w:rPr>
        <w:t> </w:t>
      </w:r>
      <w:r>
        <w:rPr>
          <w:color w:val="383638"/>
          <w:spacing w:val="-2"/>
        </w:rPr>
        <w:t>Erd-</w:t>
      </w:r>
      <w:r>
        <w:rPr>
          <w:color w:val="383638"/>
        </w:rPr>
        <w:t> und </w:t>
      </w:r>
      <w:r>
        <w:rPr>
          <w:color w:val="383638"/>
          <w:spacing w:val="-1"/>
        </w:rPr>
        <w:t>Obergeschoss.</w:t>
      </w:r>
      <w:r>
        <w:rPr/>
      </w:r>
    </w:p>
    <w:p>
      <w:pPr>
        <w:tabs>
          <w:tab w:pos="3164" w:val="left" w:leader="none"/>
        </w:tabs>
        <w:spacing w:line="230" w:lineRule="exact" w:before="0"/>
        <w:ind w:left="117" w:right="0" w:firstLine="226"/>
        <w:jc w:val="right"/>
        <w:rPr>
          <w:rFonts w:ascii="Theinhardt Regular" w:hAnsi="Theinhardt Regular" w:cs="Theinhardt Regular" w:eastAsia="Theinhardt Regular"/>
          <w:sz w:val="18"/>
          <w:szCs w:val="18"/>
        </w:rPr>
      </w:pPr>
      <w:r>
        <w:rPr>
          <w:rFonts w:ascii="Theinhardt Regular" w:hAnsi="Theinhardt Regular" w:cs="Theinhardt Regular" w:eastAsia="Theinhardt Regular"/>
          <w:color w:val="383638"/>
          <w:spacing w:val="-1"/>
          <w:sz w:val="18"/>
          <w:szCs w:val="18"/>
        </w:rPr>
        <w:t>Die</w:t>
      </w:r>
      <w:r>
        <w:rPr>
          <w:rFonts w:ascii="Theinhardt Regular" w:hAnsi="Theinhardt Regular" w:cs="Theinhardt Regular" w:eastAsia="Theinhardt Regular"/>
          <w:color w:val="383638"/>
          <w:spacing w:val="20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1"/>
          <w:sz w:val="18"/>
          <w:szCs w:val="18"/>
        </w:rPr>
        <w:t>Aussenwände</w:t>
      </w:r>
      <w:r>
        <w:rPr>
          <w:rFonts w:ascii="Theinhardt Regular" w:hAnsi="Theinhardt Regular" w:cs="Theinhardt Regular" w:eastAsia="Theinhardt Regular"/>
          <w:color w:val="383638"/>
          <w:spacing w:val="20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erhielten</w:t>
      </w:r>
      <w:r>
        <w:rPr>
          <w:rFonts w:ascii="Theinhardt Regular" w:hAnsi="Theinhardt Regular" w:cs="Theinhardt Regular" w:eastAsia="Theinhardt Regular"/>
          <w:color w:val="383638"/>
          <w:spacing w:val="20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eine</w:t>
      </w:r>
      <w:r>
        <w:rPr>
          <w:rFonts w:ascii="Theinhardt Regular" w:hAnsi="Theinhardt Regular" w:cs="Theinhardt Regular" w:eastAsia="Theinhardt Regular"/>
          <w:color w:val="383638"/>
          <w:spacing w:val="20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24</w:t>
      </w:r>
      <w:r>
        <w:rPr>
          <w:rFonts w:ascii="Theinhardt Regular" w:hAnsi="Theinhardt Regular" w:cs="Theinhardt Regular" w:eastAsia="Theinhardt Regular"/>
          <w:color w:val="383638"/>
          <w:spacing w:val="20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cm</w:t>
      </w:r>
      <w:r>
        <w:rPr>
          <w:rFonts w:ascii="Theinhardt Regular" w:hAnsi="Theinhardt Regular" w:cs="Theinhardt Regular" w:eastAsia="Theinhardt Regular"/>
          <w:color w:val="383638"/>
          <w:spacing w:val="25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1"/>
          <w:sz w:val="18"/>
          <w:szCs w:val="18"/>
        </w:rPr>
        <w:t>dicke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5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1"/>
          <w:sz w:val="18"/>
          <w:szCs w:val="18"/>
        </w:rPr>
        <w:t>Wärmedämmung.</w:t>
      </w:r>
      <w:r>
        <w:rPr>
          <w:rFonts w:ascii="Theinhardt Regular" w:hAnsi="Theinhardt Regular" w:cs="Theinhardt Regular" w:eastAsia="Theinhardt Regular"/>
          <w:color w:val="383638"/>
          <w:spacing w:val="4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1"/>
          <w:sz w:val="18"/>
          <w:szCs w:val="18"/>
        </w:rPr>
        <w:t>Das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5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Dach </w:t>
      </w:r>
      <w:r>
        <w:rPr>
          <w:rFonts w:ascii="Theinhardt Regular" w:hAnsi="Theinhardt Regular" w:cs="Theinhardt Regular" w:eastAsia="Theinhardt Regular"/>
          <w:color w:val="383638"/>
          <w:spacing w:val="5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2"/>
          <w:sz w:val="18"/>
          <w:szCs w:val="18"/>
        </w:rPr>
        <w:t>wurde</w:t>
      </w:r>
      <w:r>
        <w:rPr>
          <w:rFonts w:ascii="Theinhardt Regular" w:hAnsi="Theinhardt Regular" w:cs="Theinhardt Regular" w:eastAsia="Theinhardt Regular"/>
          <w:color w:val="383638"/>
          <w:spacing w:val="29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von</w:t>
      </w:r>
      <w:r>
        <w:rPr>
          <w:rFonts w:ascii="Theinhardt Regular" w:hAnsi="Theinhardt Regular" w:cs="Theinhardt Regular" w:eastAsia="Theinhardt Regular"/>
          <w:color w:val="383638"/>
          <w:spacing w:val="-1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1"/>
          <w:sz w:val="18"/>
          <w:szCs w:val="18"/>
        </w:rPr>
        <w:t>innen</w:t>
      </w:r>
      <w:r>
        <w:rPr>
          <w:rFonts w:ascii="Theinhardt Regular" w:hAnsi="Theinhardt Regular" w:cs="Theinhardt Regular" w:eastAsia="Theinhardt Regular"/>
          <w:color w:val="383638"/>
          <w:spacing w:val="-1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her</w:t>
      </w:r>
      <w:r>
        <w:rPr>
          <w:rFonts w:ascii="Theinhardt Regular" w:hAnsi="Theinhardt Regular" w:cs="Theinhardt Regular" w:eastAsia="Theinhardt Regular"/>
          <w:color w:val="383638"/>
          <w:spacing w:val="-1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1"/>
          <w:sz w:val="18"/>
          <w:szCs w:val="18"/>
        </w:rPr>
        <w:t>gedämmt</w:t>
      </w:r>
      <w:r>
        <w:rPr>
          <w:rFonts w:ascii="Theinhardt Regular" w:hAnsi="Theinhardt Regular" w:cs="Theinhardt Regular" w:eastAsia="Theinhardt Regular"/>
          <w:color w:val="383638"/>
          <w:spacing w:val="-1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und</w:t>
      </w:r>
      <w:r>
        <w:rPr>
          <w:rFonts w:ascii="Theinhardt Regular" w:hAnsi="Theinhardt Regular" w:cs="Theinhardt Regular" w:eastAsia="Theinhardt Regular"/>
          <w:color w:val="383638"/>
          <w:spacing w:val="-1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mit</w:t>
      </w:r>
      <w:r>
        <w:rPr>
          <w:rFonts w:ascii="Theinhardt Regular" w:hAnsi="Theinhardt Regular" w:cs="Theinhardt Regular" w:eastAsia="Theinhardt Regular"/>
          <w:color w:val="383638"/>
          <w:spacing w:val="-1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einer</w:t>
      </w:r>
      <w:r>
        <w:rPr>
          <w:rFonts w:ascii="Theinhardt Regular" w:hAnsi="Theinhardt Regular" w:cs="Theinhardt Regular" w:eastAsia="Theinhardt Regular"/>
          <w:color w:val="383638"/>
          <w:spacing w:val="-1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neuen</w:t>
      </w:r>
      <w:r>
        <w:rPr>
          <w:rFonts w:ascii="Theinhardt Regular" w:hAnsi="Theinhardt Regular" w:cs="Theinhardt Regular" w:eastAsia="Theinhardt Regular"/>
          <w:color w:val="383638"/>
          <w:spacing w:val="20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Hinterlüftung</w:t>
      </w:r>
      <w:r>
        <w:rPr>
          <w:rFonts w:ascii="Theinhardt Regular" w:hAnsi="Theinhardt Regular" w:cs="Theinhardt Regular" w:eastAsia="Theinhardt Regular"/>
          <w:color w:val="383638"/>
          <w:spacing w:val="3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ausgestattet.</w:t>
      </w:r>
      <w:r>
        <w:rPr>
          <w:rFonts w:ascii="Theinhardt Regular" w:hAnsi="Theinhardt Regular" w:cs="Theinhardt Regular" w:eastAsia="Theinhardt Regular"/>
          <w:color w:val="383638"/>
          <w:spacing w:val="2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1"/>
          <w:sz w:val="18"/>
          <w:szCs w:val="18"/>
        </w:rPr>
        <w:t>Zusammen</w:t>
      </w:r>
      <w:r>
        <w:rPr>
          <w:rFonts w:ascii="Theinhardt Regular" w:hAnsi="Theinhardt Regular" w:cs="Theinhardt Regular" w:eastAsia="Theinhardt Regular"/>
          <w:color w:val="383638"/>
          <w:spacing w:val="34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mit</w:t>
      </w:r>
      <w:r>
        <w:rPr>
          <w:rFonts w:ascii="Theinhardt Regular" w:hAnsi="Theinhardt Regular" w:cs="Theinhardt Regular" w:eastAsia="Theinhardt Regular"/>
          <w:color w:val="383638"/>
          <w:spacing w:val="40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der</w:t>
      </w:r>
      <w:r>
        <w:rPr>
          <w:rFonts w:ascii="Theinhardt Regular" w:hAnsi="Theinhardt Regular" w:cs="Theinhardt Regular" w:eastAsia="Theinhardt Regular"/>
          <w:color w:val="383638"/>
          <w:spacing w:val="-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Dämmung</w:t>
      </w:r>
      <w:r>
        <w:rPr>
          <w:rFonts w:ascii="Theinhardt Regular" w:hAnsi="Theinhardt Regular" w:cs="Theinhardt Regular" w:eastAsia="Theinhardt Regular"/>
          <w:color w:val="383638"/>
          <w:spacing w:val="-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des</w:t>
      </w:r>
      <w:r>
        <w:rPr>
          <w:rFonts w:ascii="Theinhardt Regular" w:hAnsi="Theinhardt Regular" w:cs="Theinhardt Regular" w:eastAsia="Theinhardt Regular"/>
          <w:color w:val="383638"/>
          <w:spacing w:val="-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1"/>
          <w:sz w:val="18"/>
          <w:szCs w:val="18"/>
        </w:rPr>
        <w:t>Kellerbodens</w:t>
      </w:r>
      <w:r>
        <w:rPr>
          <w:rFonts w:ascii="Theinhardt Regular" w:hAnsi="Theinhardt Regular" w:cs="Theinhardt Regular" w:eastAsia="Theinhardt Regular"/>
          <w:color w:val="383638"/>
          <w:spacing w:val="-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von</w:t>
      </w:r>
      <w:r>
        <w:rPr>
          <w:rFonts w:ascii="Theinhardt Regular" w:hAnsi="Theinhardt Regular" w:cs="Theinhardt Regular" w:eastAsia="Theinhardt Regular"/>
          <w:color w:val="383638"/>
          <w:spacing w:val="-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15</w:t>
      </w:r>
      <w:r>
        <w:rPr>
          <w:rFonts w:ascii="Theinhardt Regular" w:hAnsi="Theinhardt Regular" w:cs="Theinhardt Regular" w:eastAsia="Theinhardt Regular"/>
          <w:color w:val="383638"/>
          <w:spacing w:val="-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cm</w:t>
      </w:r>
      <w:r>
        <w:rPr>
          <w:rFonts w:ascii="Theinhardt Regular" w:hAnsi="Theinhardt Regular" w:cs="Theinhardt Regular" w:eastAsia="Theinhardt Regular"/>
          <w:color w:val="383638"/>
          <w:spacing w:val="29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und</w:t>
      </w:r>
      <w:r>
        <w:rPr>
          <w:rFonts w:ascii="Theinhardt Regular" w:hAnsi="Theinhardt Regular" w:cs="Theinhardt Regular" w:eastAsia="Theinhardt Regular"/>
          <w:color w:val="383638"/>
          <w:spacing w:val="-4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den</w:t>
      </w:r>
      <w:r>
        <w:rPr>
          <w:rFonts w:ascii="Theinhardt Regular" w:hAnsi="Theinhardt Regular" w:cs="Theinhardt Regular" w:eastAsia="Theinhardt Regular"/>
          <w:color w:val="383638"/>
          <w:spacing w:val="-4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1"/>
          <w:sz w:val="18"/>
          <w:szCs w:val="18"/>
        </w:rPr>
        <w:t>dreifach-Isolierverglasungen</w:t>
      </w:r>
      <w:r>
        <w:rPr>
          <w:rFonts w:ascii="Theinhardt Regular" w:hAnsi="Theinhardt Regular" w:cs="Theinhardt Regular" w:eastAsia="Theinhardt Regular"/>
          <w:color w:val="383638"/>
          <w:spacing w:val="-4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2"/>
          <w:sz w:val="18"/>
          <w:szCs w:val="18"/>
        </w:rPr>
        <w:t>konn-</w:t>
      </w:r>
      <w:r>
        <w:rPr>
          <w:rFonts w:ascii="Theinhardt Regular" w:hAnsi="Theinhardt Regular" w:cs="Theinhardt Regular" w:eastAsia="Theinhardt Regular"/>
          <w:color w:val="383638"/>
          <w:spacing w:val="5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te </w:t>
      </w:r>
      <w:r>
        <w:rPr>
          <w:rFonts w:ascii="Theinhardt Regular" w:hAnsi="Theinhardt Regular" w:cs="Theinhardt Regular" w:eastAsia="Theinhardt Regular"/>
          <w:color w:val="383638"/>
          <w:spacing w:val="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der </w:t>
      </w:r>
      <w:r>
        <w:rPr>
          <w:rFonts w:ascii="Theinhardt Regular" w:hAnsi="Theinhardt Regular" w:cs="Theinhardt Regular" w:eastAsia="Theinhardt Regular"/>
          <w:color w:val="383638"/>
          <w:spacing w:val="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1"/>
          <w:sz w:val="18"/>
          <w:szCs w:val="18"/>
        </w:rPr>
        <w:t>Energiebedarf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von </w:t>
      </w:r>
      <w:r>
        <w:rPr>
          <w:rFonts w:ascii="Theinhardt Regular" w:hAnsi="Theinhardt Regular" w:cs="Theinhardt Regular" w:eastAsia="Theinhardt Regular"/>
          <w:color w:val="383638"/>
          <w:spacing w:val="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24’900 </w:t>
      </w:r>
      <w:r>
        <w:rPr>
          <w:rFonts w:ascii="Theinhardt Regular" w:hAnsi="Theinhardt Regular" w:cs="Theinhardt Regular" w:eastAsia="Theinhardt Regular"/>
          <w:color w:val="383638"/>
          <w:spacing w:val="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2"/>
          <w:sz w:val="18"/>
          <w:szCs w:val="18"/>
        </w:rPr>
        <w:t>kWh/a</w:t>
      </w:r>
      <w:r>
        <w:rPr>
          <w:rFonts w:ascii="Theinhardt Regular" w:hAnsi="Theinhardt Regular" w:cs="Theinhardt Regular" w:eastAsia="Theinhardt Regular"/>
          <w:color w:val="383638"/>
          <w:spacing w:val="24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vor</w:t>
      </w:r>
      <w:r>
        <w:rPr>
          <w:rFonts w:ascii="Theinhardt Regular" w:hAnsi="Theinhardt Regular" w:cs="Theinhardt Regular" w:eastAsia="Theinhardt Regular"/>
          <w:color w:val="383638"/>
          <w:spacing w:val="1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der</w:t>
      </w:r>
      <w:r>
        <w:rPr>
          <w:rFonts w:ascii="Theinhardt Regular" w:hAnsi="Theinhardt Regular" w:cs="Theinhardt Regular" w:eastAsia="Theinhardt Regular"/>
          <w:color w:val="383638"/>
          <w:spacing w:val="1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Sanierung</w:t>
      </w:r>
      <w:r>
        <w:rPr>
          <w:rFonts w:ascii="Theinhardt Regular" w:hAnsi="Theinhardt Regular" w:cs="Theinhardt Regular" w:eastAsia="Theinhardt Regular"/>
          <w:color w:val="383638"/>
          <w:spacing w:val="1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auf</w:t>
      </w:r>
      <w:r>
        <w:rPr>
          <w:rFonts w:ascii="Theinhardt Regular" w:hAnsi="Theinhardt Regular" w:cs="Theinhardt Regular" w:eastAsia="Theinhardt Regular"/>
          <w:color w:val="383638"/>
          <w:spacing w:val="1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rund</w:t>
      </w:r>
      <w:r>
        <w:rPr>
          <w:rFonts w:ascii="Theinhardt Regular" w:hAnsi="Theinhardt Regular" w:cs="Theinhardt Regular" w:eastAsia="Theinhardt Regular"/>
          <w:color w:val="383638"/>
          <w:spacing w:val="1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10’200</w:t>
      </w:r>
      <w:r>
        <w:rPr>
          <w:rFonts w:ascii="Theinhardt Regular" w:hAnsi="Theinhardt Regular" w:cs="Theinhardt Regular" w:eastAsia="Theinhardt Regular"/>
          <w:color w:val="383638"/>
          <w:spacing w:val="1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2"/>
          <w:sz w:val="18"/>
          <w:szCs w:val="18"/>
        </w:rPr>
        <w:t>kWh/a</w:t>
      </w:r>
      <w:r>
        <w:rPr>
          <w:rFonts w:ascii="Theinhardt Regular" w:hAnsi="Theinhardt Regular" w:cs="Theinhardt Regular" w:eastAsia="Theinhardt Regular"/>
          <w:color w:val="383638"/>
          <w:spacing w:val="2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1"/>
          <w:sz w:val="18"/>
          <w:szCs w:val="18"/>
        </w:rPr>
        <w:t>mehr</w:t>
      </w:r>
      <w:r>
        <w:rPr>
          <w:rFonts w:ascii="Theinhardt Regular" w:hAnsi="Theinhardt Regular" w:cs="Theinhardt Regular" w:eastAsia="Theinhardt Regular"/>
          <w:color w:val="383638"/>
          <w:spacing w:val="19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als</w:t>
      </w:r>
      <w:r>
        <w:rPr>
          <w:rFonts w:ascii="Theinhardt Regular" w:hAnsi="Theinhardt Regular" w:cs="Theinhardt Regular" w:eastAsia="Theinhardt Regular"/>
          <w:color w:val="383638"/>
          <w:spacing w:val="19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halbiert</w:t>
      </w:r>
      <w:r>
        <w:rPr>
          <w:rFonts w:ascii="Theinhardt Regular" w:hAnsi="Theinhardt Regular" w:cs="Theinhardt Regular" w:eastAsia="Theinhardt Regular"/>
          <w:color w:val="383638"/>
          <w:spacing w:val="19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1"/>
          <w:sz w:val="18"/>
          <w:szCs w:val="18"/>
        </w:rPr>
        <w:t>werden.</w:t>
      </w:r>
      <w:r>
        <w:rPr>
          <w:rFonts w:ascii="Theinhardt Regular" w:hAnsi="Theinhardt Regular" w:cs="Theinhardt Regular" w:eastAsia="Theinhardt Regular"/>
          <w:color w:val="383638"/>
          <w:spacing w:val="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1"/>
          <w:sz w:val="18"/>
          <w:szCs w:val="18"/>
        </w:rPr>
        <w:t>Die</w:t>
      </w:r>
      <w:r>
        <w:rPr>
          <w:rFonts w:ascii="Theinhardt Regular" w:hAnsi="Theinhardt Regular" w:cs="Theinhardt Regular" w:eastAsia="Theinhardt Regular"/>
          <w:color w:val="383638"/>
          <w:spacing w:val="19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5</w:t>
      </w:r>
      <w:r>
        <w:rPr>
          <w:rFonts w:ascii="Theinhardt Regular" w:hAnsi="Theinhardt Regular" w:cs="Theinhardt Regular" w:eastAsia="Theinhardt Regular"/>
          <w:color w:val="383638"/>
          <w:spacing w:val="19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kW</w:t>
      </w:r>
      <w:r>
        <w:rPr>
          <w:rFonts w:ascii="Theinhardt Regular" w:hAnsi="Theinhardt Regular" w:cs="Theinhardt Regular" w:eastAsia="Theinhardt Regular"/>
          <w:color w:val="383638"/>
          <w:spacing w:val="19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1"/>
          <w:sz w:val="18"/>
          <w:szCs w:val="18"/>
        </w:rPr>
        <w:t>starke</w:t>
      </w:r>
      <w:r>
        <w:rPr>
          <w:rFonts w:ascii="Theinhardt Regular" w:hAnsi="Theinhardt Regular" w:cs="Theinhardt Regular" w:eastAsia="Theinhardt Regular"/>
          <w:color w:val="383638"/>
          <w:spacing w:val="2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Photovoltaikanlage </w:t>
      </w:r>
      <w:r>
        <w:rPr>
          <w:rFonts w:ascii="Theinhardt Regular" w:hAnsi="Theinhardt Regular" w:cs="Theinhardt Regular" w:eastAsia="Theinhardt Regular"/>
          <w:color w:val="383638"/>
          <w:spacing w:val="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von </w:t>
      </w:r>
      <w:r>
        <w:rPr>
          <w:rFonts w:ascii="Theinhardt Regular" w:hAnsi="Theinhardt Regular" w:cs="Theinhardt Regular" w:eastAsia="Theinhardt Regular"/>
          <w:color w:val="383638"/>
          <w:spacing w:val="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29.5 </w:t>
      </w:r>
      <w:r>
        <w:rPr>
          <w:rFonts w:ascii="Theinhardt Regular" w:hAnsi="Theinhardt Regular" w:cs="Theinhardt Regular" w:eastAsia="Theinhardt Regular"/>
          <w:color w:val="383638"/>
          <w:spacing w:val="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m</w:t>
      </w:r>
      <w:r>
        <w:rPr>
          <w:rFonts w:ascii="Theinhardt Regular" w:hAnsi="Theinhardt Regular" w:cs="Theinhardt Regular" w:eastAsia="Theinhardt Regular"/>
          <w:color w:val="231F20"/>
          <w:position w:val="6"/>
          <w:sz w:val="10"/>
          <w:szCs w:val="10"/>
        </w:rPr>
        <w:t>2  </w:t>
      </w:r>
      <w:r>
        <w:rPr>
          <w:rFonts w:ascii="Theinhardt Regular" w:hAnsi="Theinhardt Regular" w:cs="Theinhardt Regular" w:eastAsia="Theinhardt Regular"/>
          <w:color w:val="231F20"/>
          <w:spacing w:val="24"/>
          <w:position w:val="6"/>
          <w:sz w:val="10"/>
          <w:szCs w:val="10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bedeckt</w:t>
      </w:r>
      <w:r>
        <w:rPr>
          <w:rFonts w:ascii="Theinhardt Regular" w:hAnsi="Theinhardt Regular" w:cs="Theinhardt Regular" w:eastAsia="Theinhardt Regular"/>
          <w:color w:val="383638"/>
          <w:spacing w:val="2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die</w:t>
      </w:r>
      <w:r>
        <w:rPr>
          <w:rFonts w:ascii="Theinhardt Regular" w:hAnsi="Theinhardt Regular" w:cs="Theinhardt Regular" w:eastAsia="Theinhardt Regular"/>
          <w:color w:val="383638"/>
          <w:spacing w:val="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1"/>
          <w:sz w:val="18"/>
          <w:szCs w:val="18"/>
        </w:rPr>
        <w:t>Südseite</w:t>
      </w:r>
      <w:r>
        <w:rPr>
          <w:rFonts w:ascii="Theinhardt Regular" w:hAnsi="Theinhardt Regular" w:cs="Theinhardt Regular" w:eastAsia="Theinhardt Regular"/>
          <w:color w:val="383638"/>
          <w:spacing w:val="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des</w:t>
      </w:r>
      <w:r>
        <w:rPr>
          <w:rFonts w:ascii="Theinhardt Regular" w:hAnsi="Theinhardt Regular" w:cs="Theinhardt Regular" w:eastAsia="Theinhardt Regular"/>
          <w:color w:val="383638"/>
          <w:spacing w:val="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Giebeldaches.</w:t>
      </w:r>
      <w:r>
        <w:rPr>
          <w:rFonts w:ascii="Theinhardt Regular" w:hAnsi="Theinhardt Regular" w:cs="Theinhardt Regular" w:eastAsia="Theinhardt Regular"/>
          <w:color w:val="383638"/>
          <w:spacing w:val="-9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Sie</w:t>
      </w:r>
      <w:r>
        <w:rPr>
          <w:rFonts w:ascii="Theinhardt Regular" w:hAnsi="Theinhardt Regular" w:cs="Theinhardt Regular" w:eastAsia="Theinhardt Regular"/>
          <w:color w:val="383638"/>
          <w:spacing w:val="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erzeugt</w:t>
      </w:r>
      <w:r>
        <w:rPr>
          <w:rFonts w:ascii="Theinhardt Regular" w:hAnsi="Theinhardt Regular" w:cs="Theinhardt Regular" w:eastAsia="Theinhardt Regular"/>
          <w:color w:val="383638"/>
          <w:spacing w:val="2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jährlich</w:t>
      </w:r>
      <w:r>
        <w:rPr>
          <w:rFonts w:ascii="Theinhardt Regular" w:hAnsi="Theinhardt Regular" w:cs="Theinhardt Regular" w:eastAsia="Theinhardt Regular"/>
          <w:color w:val="383638"/>
          <w:spacing w:val="1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5’850</w:t>
      </w:r>
      <w:r>
        <w:rPr>
          <w:rFonts w:ascii="Theinhardt Regular" w:hAnsi="Theinhardt Regular" w:cs="Theinhardt Regular" w:eastAsia="Theinhardt Regular"/>
          <w:color w:val="383638"/>
          <w:spacing w:val="1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kWh</w:t>
      </w:r>
      <w:r>
        <w:rPr>
          <w:rFonts w:ascii="Theinhardt Regular" w:hAnsi="Theinhardt Regular" w:cs="Theinhardt Regular" w:eastAsia="Theinhardt Regular"/>
          <w:color w:val="383638"/>
          <w:spacing w:val="1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1"/>
          <w:sz w:val="18"/>
          <w:szCs w:val="18"/>
        </w:rPr>
        <w:t>Strom</w:t>
      </w:r>
      <w:r>
        <w:rPr>
          <w:rFonts w:ascii="Theinhardt Regular" w:hAnsi="Theinhardt Regular" w:cs="Theinhardt Regular" w:eastAsia="Theinhardt Regular"/>
          <w:color w:val="383638"/>
          <w:spacing w:val="1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und</w:t>
      </w:r>
      <w:r>
        <w:rPr>
          <w:rFonts w:ascii="Theinhardt Regular" w:hAnsi="Theinhardt Regular" w:cs="Theinhardt Regular" w:eastAsia="Theinhardt Regular"/>
          <w:color w:val="383638"/>
          <w:spacing w:val="1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deckt</w:t>
      </w:r>
      <w:r>
        <w:rPr>
          <w:rFonts w:ascii="Theinhardt Regular" w:hAnsi="Theinhardt Regular" w:cs="Theinhardt Regular" w:eastAsia="Theinhardt Regular"/>
          <w:color w:val="383638"/>
          <w:spacing w:val="1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damit</w:t>
      </w:r>
      <w:r>
        <w:rPr>
          <w:rFonts w:ascii="Theinhardt Regular" w:hAnsi="Theinhardt Regular" w:cs="Theinhardt Regular" w:eastAsia="Theinhardt Regular"/>
          <w:color w:val="383638"/>
          <w:spacing w:val="2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den</w:t>
      </w:r>
      <w:r>
        <w:rPr>
          <w:rFonts w:ascii="Theinhardt Regular" w:hAnsi="Theinhardt Regular" w:cs="Theinhardt Regular" w:eastAsia="Theinhardt Regular"/>
          <w:color w:val="383638"/>
          <w:spacing w:val="-1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1"/>
          <w:sz w:val="18"/>
          <w:szCs w:val="18"/>
        </w:rPr>
        <w:t>Strombedarf</w:t>
      </w:r>
      <w:r>
        <w:rPr>
          <w:rFonts w:ascii="Theinhardt Regular" w:hAnsi="Theinhardt Regular" w:cs="Theinhardt Regular" w:eastAsia="Theinhardt Regular"/>
          <w:color w:val="383638"/>
          <w:spacing w:val="-1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über</w:t>
      </w:r>
      <w:r>
        <w:rPr>
          <w:rFonts w:ascii="Theinhardt Regular" w:hAnsi="Theinhardt Regular" w:cs="Theinhardt Regular" w:eastAsia="Theinhardt Regular"/>
          <w:color w:val="383638"/>
          <w:spacing w:val="-1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das</w:t>
      </w:r>
      <w:r>
        <w:rPr>
          <w:rFonts w:ascii="Theinhardt Regular" w:hAnsi="Theinhardt Regular" w:cs="Theinhardt Regular" w:eastAsia="Theinhardt Regular"/>
          <w:color w:val="383638"/>
          <w:spacing w:val="-1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3"/>
          <w:sz w:val="18"/>
          <w:szCs w:val="18"/>
        </w:rPr>
        <w:t>Jahr.</w:t>
      </w:r>
      <w:r>
        <w:rPr>
          <w:rFonts w:ascii="Theinhardt Regular" w:hAnsi="Theinhardt Regular" w:cs="Theinhardt Regular" w:eastAsia="Theinhardt Regular"/>
          <w:color w:val="383638"/>
          <w:spacing w:val="-2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1"/>
          <w:sz w:val="18"/>
          <w:szCs w:val="18"/>
        </w:rPr>
        <w:t>Die</w:t>
      </w:r>
      <w:r>
        <w:rPr>
          <w:rFonts w:ascii="Theinhardt Regular" w:hAnsi="Theinhardt Regular" w:cs="Theinhardt Regular" w:eastAsia="Theinhardt Regular"/>
          <w:color w:val="383638"/>
          <w:spacing w:val="-1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1"/>
          <w:sz w:val="18"/>
          <w:szCs w:val="18"/>
        </w:rPr>
        <w:t>restliche</w:t>
      </w:r>
      <w:r>
        <w:rPr>
          <w:rFonts w:ascii="Theinhardt Regular" w:hAnsi="Theinhardt Regular" w:cs="Theinhardt Regular" w:eastAsia="Theinhardt Regular"/>
          <w:color w:val="383638"/>
          <w:spacing w:val="3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2"/>
          <w:sz w:val="18"/>
          <w:szCs w:val="18"/>
        </w:rPr>
        <w:t>Wärmeenergie</w:t>
      </w:r>
      <w:r>
        <w:rPr>
          <w:rFonts w:ascii="Theinhardt Regular" w:hAnsi="Theinhardt Regular" w:cs="Theinhardt Regular" w:eastAsia="Theinhardt Regular"/>
          <w:color w:val="383638"/>
          <w:spacing w:val="-1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2"/>
          <w:sz w:val="18"/>
          <w:szCs w:val="18"/>
        </w:rPr>
        <w:t>wird</w:t>
      </w:r>
      <w:r>
        <w:rPr>
          <w:rFonts w:ascii="Theinhardt Regular" w:hAnsi="Theinhardt Regular" w:cs="Theinhardt Regular" w:eastAsia="Theinhardt Regular"/>
          <w:color w:val="383638"/>
          <w:spacing w:val="-1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vom</w:t>
      </w:r>
      <w:r>
        <w:rPr>
          <w:rFonts w:ascii="Theinhardt Regular" w:hAnsi="Theinhardt Regular" w:cs="Theinhardt Regular" w:eastAsia="Theinhardt Regular"/>
          <w:color w:val="383638"/>
          <w:spacing w:val="-1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1"/>
          <w:sz w:val="18"/>
          <w:szCs w:val="18"/>
        </w:rPr>
        <w:t>zentralen</w:t>
      </w:r>
      <w:r>
        <w:rPr>
          <w:rFonts w:ascii="Theinhardt Regular" w:hAnsi="Theinhardt Regular" w:cs="Theinhardt Regular" w:eastAsia="Theinhardt Regular"/>
          <w:color w:val="383638"/>
          <w:spacing w:val="-1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Speicher-</w:t>
      </w:r>
      <w:r>
        <w:rPr>
          <w:rFonts w:ascii="Theinhardt Regular" w:hAnsi="Theinhardt Regular" w:cs="Theinhardt Regular" w:eastAsia="Theinhardt Regular"/>
          <w:color w:val="383638"/>
          <w:spacing w:val="4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1"/>
          <w:sz w:val="18"/>
          <w:szCs w:val="18"/>
        </w:rPr>
        <w:t>ofen</w:t>
      </w:r>
      <w:r>
        <w:rPr>
          <w:rFonts w:ascii="Theinhardt Regular" w:hAnsi="Theinhardt Regular" w:cs="Theinhardt Regular" w:eastAsia="Theinhardt Regular"/>
          <w:color w:val="383638"/>
          <w:spacing w:val="4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mit</w:t>
      </w:r>
      <w:r>
        <w:rPr>
          <w:rFonts w:ascii="Theinhardt Regular" w:hAnsi="Theinhardt Regular" w:cs="Theinhardt Regular" w:eastAsia="Theinhardt Regular"/>
          <w:color w:val="383638"/>
          <w:spacing w:val="4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2"/>
          <w:sz w:val="18"/>
          <w:szCs w:val="18"/>
        </w:rPr>
        <w:t>Warmwasserregister</w:t>
      </w:r>
      <w:r>
        <w:rPr>
          <w:rFonts w:ascii="Theinhardt Regular" w:hAnsi="Theinhardt Regular" w:cs="Theinhardt Regular" w:eastAsia="Theinhardt Regular"/>
          <w:color w:val="383638"/>
          <w:spacing w:val="4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bereitgestellt.</w:t>
      </w:r>
      <w:r>
        <w:rPr>
          <w:rFonts w:ascii="Theinhardt Regular" w:hAnsi="Theinhardt Regular" w:cs="Theinhardt Regular" w:eastAsia="Theinhardt Regular"/>
          <w:color w:val="383638"/>
          <w:spacing w:val="3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3"/>
          <w:sz w:val="18"/>
          <w:szCs w:val="18"/>
        </w:rPr>
        <w:t>Pro</w:t>
      </w:r>
      <w:r>
        <w:rPr>
          <w:rFonts w:ascii="Theinhardt Regular" w:hAnsi="Theinhardt Regular" w:cs="Theinhardt Regular" w:eastAsia="Theinhardt Regular"/>
          <w:color w:val="383638"/>
          <w:spacing w:val="-1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Jahr</w:t>
      </w:r>
      <w:r>
        <w:rPr>
          <w:rFonts w:ascii="Theinhardt Regular" w:hAnsi="Theinhardt Regular" w:cs="Theinhardt Regular" w:eastAsia="Theinhardt Regular"/>
          <w:color w:val="383638"/>
          <w:spacing w:val="-1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benötigt</w:t>
      </w:r>
      <w:r>
        <w:rPr>
          <w:rFonts w:ascii="Theinhardt Regular" w:hAnsi="Theinhardt Regular" w:cs="Theinhardt Regular" w:eastAsia="Theinhardt Regular"/>
          <w:color w:val="383638"/>
          <w:spacing w:val="-1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die</w:t>
      </w:r>
      <w:r>
        <w:rPr>
          <w:rFonts w:ascii="Theinhardt Regular" w:hAnsi="Theinhardt Regular" w:cs="Theinhardt Regular" w:eastAsia="Theinhardt Regular"/>
          <w:color w:val="383638"/>
          <w:spacing w:val="-1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1"/>
          <w:sz w:val="18"/>
          <w:szCs w:val="18"/>
        </w:rPr>
        <w:t>Familie</w:t>
        <w:tab/>
      </w:r>
      <w:r>
        <w:rPr>
          <w:rFonts w:ascii="Theinhardt Regular" w:hAnsi="Theinhardt Regular" w:cs="Theinhardt Regular" w:eastAsia="Theinhardt Regular"/>
          <w:color w:val="383638"/>
          <w:spacing w:val="-4"/>
          <w:sz w:val="18"/>
          <w:szCs w:val="18"/>
        </w:rPr>
        <w:t>Tor-</w:t>
      </w:r>
      <w:r>
        <w:rPr>
          <w:rFonts w:ascii="Theinhardt Regular" w:hAnsi="Theinhardt Regular" w:cs="Theinhardt Regular" w:eastAsia="Theinhardt Regular"/>
          <w:color w:val="383638"/>
          <w:spacing w:val="25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2"/>
          <w:sz w:val="18"/>
          <w:szCs w:val="18"/>
        </w:rPr>
        <w:t>res</w:t>
      </w:r>
      <w:r>
        <w:rPr>
          <w:rFonts w:ascii="Theinhardt Regular" w:hAnsi="Theinhardt Regular" w:cs="Theinhardt Regular" w:eastAsia="Theinhardt Regular"/>
          <w:color w:val="383638"/>
          <w:spacing w:val="10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Nova</w:t>
      </w:r>
      <w:r>
        <w:rPr>
          <w:rFonts w:ascii="Theinhardt Regular" w:hAnsi="Theinhardt Regular" w:cs="Theinhardt Regular" w:eastAsia="Theinhardt Regular"/>
          <w:color w:val="383638"/>
          <w:spacing w:val="10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etwa</w:t>
      </w:r>
      <w:r>
        <w:rPr>
          <w:rFonts w:ascii="Theinhardt Regular" w:hAnsi="Theinhardt Regular" w:cs="Theinhardt Regular" w:eastAsia="Theinhardt Regular"/>
          <w:color w:val="383638"/>
          <w:spacing w:val="10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zwei</w:t>
      </w:r>
      <w:r>
        <w:rPr>
          <w:rFonts w:ascii="Theinhardt Regular" w:hAnsi="Theinhardt Regular" w:cs="Theinhardt Regular" w:eastAsia="Theinhardt Regular"/>
          <w:color w:val="383638"/>
          <w:spacing w:val="10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Ster</w:t>
      </w:r>
      <w:r>
        <w:rPr>
          <w:rFonts w:ascii="Theinhardt Regular" w:hAnsi="Theinhardt Regular" w:cs="Theinhardt Regular" w:eastAsia="Theinhardt Regular"/>
          <w:color w:val="383638"/>
          <w:spacing w:val="10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Holz.</w:t>
      </w:r>
      <w:r>
        <w:rPr>
          <w:rFonts w:ascii="Theinhardt Regular" w:hAnsi="Theinhardt Regular" w:cs="Theinhardt Regular" w:eastAsia="Theinhardt Regular"/>
          <w:color w:val="383638"/>
          <w:spacing w:val="-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In</w:t>
      </w:r>
      <w:r>
        <w:rPr>
          <w:rFonts w:ascii="Theinhardt Regular" w:hAnsi="Theinhardt Regular" w:cs="Theinhardt Regular" w:eastAsia="Theinhardt Regular"/>
          <w:color w:val="383638"/>
          <w:spacing w:val="10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den</w:t>
      </w:r>
      <w:r>
        <w:rPr>
          <w:rFonts w:ascii="Theinhardt Regular" w:hAnsi="Theinhardt Regular" w:cs="Theinhardt Regular" w:eastAsia="Theinhardt Regular"/>
          <w:color w:val="383638"/>
          <w:spacing w:val="10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Som-</w:t>
      </w:r>
      <w:r>
        <w:rPr>
          <w:rFonts w:ascii="Theinhardt Regular" w:hAnsi="Theinhardt Regular" w:cs="Theinhardt Regular" w:eastAsia="Theinhardt Regular"/>
          <w:color w:val="383638"/>
          <w:spacing w:val="25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mermonaten</w:t>
      </w:r>
      <w:r>
        <w:rPr>
          <w:rFonts w:ascii="Theinhardt Regular" w:hAnsi="Theinhardt Regular" w:cs="Theinhardt Regular" w:eastAsia="Theinhardt Regular"/>
          <w:color w:val="383638"/>
          <w:spacing w:val="1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2"/>
          <w:sz w:val="18"/>
          <w:szCs w:val="18"/>
        </w:rPr>
        <w:t>wird</w:t>
      </w:r>
      <w:r>
        <w:rPr>
          <w:rFonts w:ascii="Theinhardt Regular" w:hAnsi="Theinhardt Regular" w:cs="Theinhardt Regular" w:eastAsia="Theinhardt Regular"/>
          <w:color w:val="383638"/>
          <w:spacing w:val="1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das</w:t>
      </w:r>
      <w:r>
        <w:rPr>
          <w:rFonts w:ascii="Theinhardt Regular" w:hAnsi="Theinhardt Regular" w:cs="Theinhardt Regular" w:eastAsia="Theinhardt Regular"/>
          <w:color w:val="383638"/>
          <w:spacing w:val="1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2"/>
          <w:sz w:val="18"/>
          <w:szCs w:val="18"/>
        </w:rPr>
        <w:t>Warmwasser</w:t>
      </w:r>
      <w:r>
        <w:rPr>
          <w:rFonts w:ascii="Theinhardt Regular" w:hAnsi="Theinhardt Regular" w:cs="Theinhardt Regular" w:eastAsia="Theinhardt Regular"/>
          <w:color w:val="383638"/>
          <w:spacing w:val="1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mittels</w:t>
      </w:r>
      <w:r>
        <w:rPr>
          <w:rFonts w:ascii="Theinhardt Regular" w:hAnsi="Theinhardt Regular" w:cs="Theinhardt Regular" w:eastAsia="Theinhardt Regular"/>
          <w:color w:val="383638"/>
          <w:spacing w:val="29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Luftwasserwärmepumpe  </w:t>
      </w:r>
      <w:r>
        <w:rPr>
          <w:rFonts w:ascii="Theinhardt Regular" w:hAnsi="Theinhardt Regular" w:cs="Theinhardt Regular" w:eastAsia="Theinhardt Regular"/>
          <w:color w:val="383638"/>
          <w:spacing w:val="1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erwärmt.  </w:t>
      </w:r>
      <w:r>
        <w:rPr>
          <w:rFonts w:ascii="Theinhardt Regular" w:hAnsi="Theinhardt Regular" w:cs="Theinhardt Regular" w:eastAsia="Theinhardt Regular"/>
          <w:color w:val="383638"/>
          <w:spacing w:val="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Somit</w:t>
      </w:r>
      <w:r>
        <w:rPr>
          <w:rFonts w:ascii="Theinhardt Regular" w:hAnsi="Theinhardt Regular" w:cs="Theinhardt Regular" w:eastAsia="Theinhardt Regular"/>
          <w:color w:val="383638"/>
          <w:spacing w:val="2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deckt</w:t>
      </w:r>
      <w:r>
        <w:rPr>
          <w:rFonts w:ascii="Theinhardt Regular" w:hAnsi="Theinhardt Regular" w:cs="Theinhardt Regular" w:eastAsia="Theinhardt Regular"/>
          <w:color w:val="383638"/>
          <w:spacing w:val="24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das</w:t>
      </w:r>
      <w:r>
        <w:rPr>
          <w:rFonts w:ascii="Theinhardt Regular" w:hAnsi="Theinhardt Regular" w:cs="Theinhardt Regular" w:eastAsia="Theinhardt Regular"/>
          <w:color w:val="383638"/>
          <w:spacing w:val="25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Haus</w:t>
      </w:r>
      <w:r>
        <w:rPr>
          <w:rFonts w:ascii="Theinhardt Regular" w:hAnsi="Theinhardt Regular" w:cs="Theinhardt Regular" w:eastAsia="Theinhardt Regular"/>
          <w:color w:val="383638"/>
          <w:spacing w:val="24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1"/>
          <w:sz w:val="18"/>
          <w:szCs w:val="18"/>
        </w:rPr>
        <w:t>seinen</w:t>
      </w:r>
      <w:r>
        <w:rPr>
          <w:rFonts w:ascii="Theinhardt Regular" w:hAnsi="Theinhardt Regular" w:cs="Theinhardt Regular" w:eastAsia="Theinhardt Regular"/>
          <w:color w:val="383638"/>
          <w:spacing w:val="25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1"/>
          <w:sz w:val="18"/>
          <w:szCs w:val="18"/>
        </w:rPr>
        <w:t>Energiebedarf</w:t>
      </w:r>
      <w:r>
        <w:rPr>
          <w:rFonts w:ascii="Theinhardt Regular" w:hAnsi="Theinhardt Regular" w:cs="Theinhardt Regular" w:eastAsia="Theinhardt Regular"/>
          <w:color w:val="383638"/>
          <w:spacing w:val="25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fast</w:t>
      </w:r>
      <w:r>
        <w:rPr>
          <w:rFonts w:ascii="Theinhardt Regular" w:hAnsi="Theinhardt Regular" w:cs="Theinhardt Regular" w:eastAsia="Theinhardt Regular"/>
          <w:color w:val="383638"/>
          <w:spacing w:val="34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ausschliesslich aus </w:t>
      </w:r>
      <w:r>
        <w:rPr>
          <w:rFonts w:ascii="Theinhardt Regular" w:hAnsi="Theinhardt Regular" w:cs="Theinhardt Regular" w:eastAsia="Theinhardt Regular"/>
          <w:color w:val="383638"/>
          <w:spacing w:val="-1"/>
          <w:sz w:val="18"/>
          <w:szCs w:val="18"/>
        </w:rPr>
        <w:t>erneuerbaren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1"/>
          <w:sz w:val="18"/>
          <w:szCs w:val="18"/>
        </w:rPr>
        <w:t>Energien.</w:t>
      </w:r>
      <w:r>
        <w:rPr>
          <w:rFonts w:ascii="Theinhardt Regular" w:hAnsi="Theinhardt Regular" w:cs="Theinhardt Regular" w:eastAsia="Theinhardt Regular"/>
          <w:color w:val="383638"/>
          <w:spacing w:val="2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1"/>
          <w:sz w:val="18"/>
          <w:szCs w:val="18"/>
        </w:rPr>
        <w:t>Die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Sanierung </w:t>
      </w:r>
      <w:r>
        <w:rPr>
          <w:rFonts w:ascii="Theinhardt Regular" w:hAnsi="Theinhardt Regular" w:cs="Theinhardt Regular" w:eastAsia="Theinhardt Regular"/>
          <w:color w:val="383638"/>
          <w:spacing w:val="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des </w:t>
      </w:r>
      <w:r>
        <w:rPr>
          <w:rFonts w:ascii="Theinhardt Regular" w:hAnsi="Theinhardt Regular" w:cs="Theinhardt Regular" w:eastAsia="Theinhardt Regular"/>
          <w:color w:val="383638"/>
          <w:spacing w:val="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1"/>
          <w:sz w:val="18"/>
          <w:szCs w:val="18"/>
        </w:rPr>
        <w:t>REFH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1"/>
          <w:sz w:val="18"/>
          <w:szCs w:val="18"/>
        </w:rPr>
        <w:t>Göblistrasse</w:t>
      </w:r>
      <w:r>
        <w:rPr>
          <w:rFonts w:ascii="Theinhardt Regular" w:hAnsi="Theinhardt Regular" w:cs="Theinhardt Regular" w:eastAsia="Theinhardt Regular"/>
          <w:color w:val="383638"/>
          <w:spacing w:val="2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zeigt</w:t>
      </w:r>
      <w:r>
        <w:rPr>
          <w:rFonts w:ascii="Theinhardt Regular" w:hAnsi="Theinhardt Regular" w:cs="Theinhardt Regular" w:eastAsia="Theinhardt Regular"/>
          <w:color w:val="383638"/>
          <w:spacing w:val="20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1"/>
          <w:sz w:val="18"/>
          <w:szCs w:val="18"/>
        </w:rPr>
        <w:t>exemplarisch</w:t>
      </w:r>
      <w:r>
        <w:rPr>
          <w:rFonts w:ascii="Theinhardt Regular" w:hAnsi="Theinhardt Regular" w:cs="Theinhardt Regular" w:eastAsia="Theinhardt Regular"/>
          <w:color w:val="383638"/>
          <w:spacing w:val="20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2"/>
          <w:sz w:val="18"/>
          <w:szCs w:val="18"/>
        </w:rPr>
        <w:t>auf,</w:t>
      </w:r>
      <w:r>
        <w:rPr>
          <w:rFonts w:ascii="Theinhardt Regular" w:hAnsi="Theinhardt Regular" w:cs="Theinhardt Regular" w:eastAsia="Theinhardt Regular"/>
          <w:color w:val="383638"/>
          <w:spacing w:val="9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dass</w:t>
      </w:r>
      <w:r>
        <w:rPr>
          <w:rFonts w:ascii="Theinhardt Regular" w:hAnsi="Theinhardt Regular" w:cs="Theinhardt Regular" w:eastAsia="Theinhardt Regular"/>
          <w:color w:val="383638"/>
          <w:spacing w:val="20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auch</w:t>
      </w:r>
      <w:r>
        <w:rPr>
          <w:rFonts w:ascii="Theinhardt Regular" w:hAnsi="Theinhardt Regular" w:cs="Theinhardt Regular" w:eastAsia="Theinhardt Regular"/>
          <w:color w:val="383638"/>
          <w:spacing w:val="20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im</w:t>
      </w:r>
      <w:r>
        <w:rPr>
          <w:rFonts w:ascii="Theinhardt Regular" w:hAnsi="Theinhardt Regular" w:cs="Theinhardt Regular" w:eastAsia="Theinhardt Regular"/>
          <w:color w:val="383638"/>
          <w:spacing w:val="20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Rah-</w:t>
      </w:r>
      <w:r>
        <w:rPr>
          <w:rFonts w:ascii="Theinhardt Regular" w:hAnsi="Theinhardt Regular" w:cs="Theinhardt Regular" w:eastAsia="Theinhardt Regular"/>
          <w:color w:val="383638"/>
          <w:spacing w:val="2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men</w:t>
      </w:r>
      <w:r>
        <w:rPr>
          <w:rFonts w:ascii="Theinhardt Regular" w:hAnsi="Theinhardt Regular" w:cs="Theinhardt Regular" w:eastAsia="Theinhardt Regular"/>
          <w:color w:val="383638"/>
          <w:spacing w:val="4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einer</w:t>
      </w:r>
      <w:r>
        <w:rPr>
          <w:rFonts w:ascii="Theinhardt Regular" w:hAnsi="Theinhardt Regular" w:cs="Theinhardt Regular" w:eastAsia="Theinhardt Regular"/>
          <w:color w:val="383638"/>
          <w:spacing w:val="4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1"/>
          <w:sz w:val="18"/>
          <w:szCs w:val="18"/>
        </w:rPr>
        <w:t>energetischen</w:t>
      </w:r>
      <w:r>
        <w:rPr>
          <w:rFonts w:ascii="Theinhardt Regular" w:hAnsi="Theinhardt Regular" w:cs="Theinhardt Regular" w:eastAsia="Theinhardt Regular"/>
          <w:color w:val="383638"/>
          <w:spacing w:val="4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Erneuerung</w:t>
      </w:r>
      <w:r>
        <w:rPr>
          <w:rFonts w:ascii="Theinhardt Regular" w:hAnsi="Theinhardt Regular" w:cs="Theinhardt Regular" w:eastAsia="Theinhardt Regular"/>
          <w:color w:val="383638"/>
          <w:spacing w:val="4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mit</w:t>
      </w:r>
      <w:r>
        <w:rPr>
          <w:rFonts w:ascii="Theinhardt Regular" w:hAnsi="Theinhardt Regular" w:cs="Theinhardt Regular" w:eastAsia="Theinhardt Regular"/>
          <w:color w:val="383638"/>
          <w:spacing w:val="2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dem</w:t>
      </w:r>
      <w:r>
        <w:rPr>
          <w:rFonts w:ascii="Theinhardt Regular" w:hAnsi="Theinhardt Regular" w:cs="Theinhardt Regular" w:eastAsia="Theinhardt Regular"/>
          <w:color w:val="383638"/>
          <w:spacing w:val="9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Einbezug</w:t>
      </w:r>
      <w:r>
        <w:rPr>
          <w:rFonts w:ascii="Theinhardt Regular" w:hAnsi="Theinhardt Regular" w:cs="Theinhardt Regular" w:eastAsia="Theinhardt Regular"/>
          <w:color w:val="383638"/>
          <w:spacing w:val="9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von</w:t>
      </w:r>
      <w:r>
        <w:rPr>
          <w:rFonts w:ascii="Theinhardt Regular" w:hAnsi="Theinhardt Regular" w:cs="Theinhardt Regular" w:eastAsia="Theinhardt Regular"/>
          <w:color w:val="383638"/>
          <w:spacing w:val="9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1"/>
          <w:sz w:val="18"/>
          <w:szCs w:val="18"/>
        </w:rPr>
        <w:t>Solarenergie,</w:t>
      </w:r>
      <w:r>
        <w:rPr>
          <w:rFonts w:ascii="Theinhardt Regular" w:hAnsi="Theinhardt Regular" w:cs="Theinhardt Regular" w:eastAsia="Theinhardt Regular"/>
          <w:color w:val="383638"/>
          <w:spacing w:val="-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1"/>
          <w:sz w:val="18"/>
          <w:szCs w:val="18"/>
        </w:rPr>
        <w:t>dank</w:t>
      </w:r>
      <w:r>
        <w:rPr>
          <w:rFonts w:ascii="Theinhardt Regular" w:hAnsi="Theinhardt Regular" w:cs="Theinhardt Regular" w:eastAsia="Theinhardt Regular"/>
          <w:color w:val="383638"/>
          <w:spacing w:val="9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1"/>
          <w:sz w:val="18"/>
          <w:szCs w:val="18"/>
        </w:rPr>
        <w:t>fein-</w:t>
      </w:r>
      <w:r>
        <w:rPr>
          <w:rFonts w:ascii="Theinhardt Regular" w:hAnsi="Theinhardt Regular" w:cs="Theinhardt Regular" w:eastAsia="Theinhardt Regular"/>
          <w:color w:val="383638"/>
          <w:spacing w:val="2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fühliger </w:t>
      </w:r>
      <w:r>
        <w:rPr>
          <w:rFonts w:ascii="Theinhardt Regular" w:hAnsi="Theinhardt Regular" w:cs="Theinhardt Regular" w:eastAsia="Theinhardt Regular"/>
          <w:color w:val="383638"/>
          <w:spacing w:val="2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1"/>
          <w:sz w:val="18"/>
          <w:szCs w:val="18"/>
        </w:rPr>
        <w:t>Anpassung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2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1"/>
          <w:sz w:val="18"/>
          <w:szCs w:val="18"/>
        </w:rPr>
        <w:t>an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2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die </w:t>
      </w:r>
      <w:r>
        <w:rPr>
          <w:rFonts w:ascii="Theinhardt Regular" w:hAnsi="Theinhardt Regular" w:cs="Theinhardt Regular" w:eastAsia="Theinhardt Regular"/>
          <w:color w:val="383638"/>
          <w:spacing w:val="2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benachbarte</w:t>
      </w:r>
      <w:r>
        <w:rPr>
          <w:rFonts w:ascii="Theinhardt Regular" w:hAnsi="Theinhardt Regular" w:cs="Theinhardt Regular" w:eastAsia="Theinhardt Regular"/>
          <w:color w:val="383638"/>
          <w:spacing w:val="2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Bausubstanz,</w:t>
      </w:r>
      <w:r>
        <w:rPr>
          <w:rFonts w:ascii="Theinhardt Regular" w:hAnsi="Theinhardt Regular" w:cs="Theinhardt Regular" w:eastAsia="Theinhardt Regular"/>
          <w:color w:val="383638"/>
          <w:spacing w:val="-2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das</w:t>
      </w:r>
      <w:r>
        <w:rPr>
          <w:rFonts w:ascii="Theinhardt Regular" w:hAnsi="Theinhardt Regular" w:cs="Theinhardt Regular" w:eastAsia="Theinhardt Regular"/>
          <w:color w:val="383638"/>
          <w:spacing w:val="-1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Gesamtbild</w:t>
      </w:r>
      <w:r>
        <w:rPr>
          <w:rFonts w:ascii="Theinhardt Regular" w:hAnsi="Theinhardt Regular" w:cs="Theinhardt Regular" w:eastAsia="Theinhardt Regular"/>
          <w:color w:val="383638"/>
          <w:spacing w:val="-1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eines</w:t>
      </w:r>
      <w:r>
        <w:rPr>
          <w:rFonts w:ascii="Theinhardt Regular" w:hAnsi="Theinhardt Regular" w:cs="Theinhardt Regular" w:eastAsia="Theinhardt Regular"/>
          <w:color w:val="383638"/>
          <w:spacing w:val="-1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Reihen-</w:t>
      </w:r>
      <w:r>
        <w:rPr>
          <w:rFonts w:ascii="Theinhardt Regular" w:hAnsi="Theinhardt Regular" w:cs="Theinhardt Regular" w:eastAsia="Theinhardt Regular"/>
          <w:sz w:val="18"/>
          <w:szCs w:val="18"/>
        </w:rPr>
      </w:r>
    </w:p>
    <w:p>
      <w:pPr>
        <w:spacing w:before="9"/>
        <w:ind w:left="117" w:right="0" w:firstLine="0"/>
        <w:jc w:val="both"/>
        <w:rPr>
          <w:rFonts w:ascii="Theinhardt Regular" w:hAnsi="Theinhardt Regular" w:cs="Theinhardt Regular" w:eastAsia="Theinhardt Regular"/>
          <w:sz w:val="18"/>
          <w:szCs w:val="18"/>
        </w:rPr>
      </w:pPr>
      <w:r>
        <w:rPr>
          <w:rFonts w:ascii="Theinhardt Regular"/>
          <w:color w:val="383638"/>
          <w:spacing w:val="-1"/>
          <w:sz w:val="18"/>
        </w:rPr>
        <w:t>hauses</w:t>
      </w:r>
      <w:r>
        <w:rPr>
          <w:rFonts w:ascii="Theinhardt Regular"/>
          <w:color w:val="383638"/>
          <w:sz w:val="18"/>
        </w:rPr>
        <w:t> </w:t>
      </w:r>
      <w:r>
        <w:rPr>
          <w:rFonts w:ascii="Theinhardt Regular"/>
          <w:color w:val="383638"/>
          <w:spacing w:val="-1"/>
          <w:sz w:val="18"/>
        </w:rPr>
        <w:t>gewahrt</w:t>
      </w:r>
      <w:r>
        <w:rPr>
          <w:rFonts w:ascii="Theinhardt Regular"/>
          <w:color w:val="383638"/>
          <w:sz w:val="18"/>
        </w:rPr>
        <w:t> </w:t>
      </w:r>
      <w:r>
        <w:rPr>
          <w:rFonts w:ascii="Theinhardt Regular"/>
          <w:color w:val="383638"/>
          <w:spacing w:val="-1"/>
          <w:sz w:val="18"/>
        </w:rPr>
        <w:t>werden</w:t>
      </w:r>
      <w:r>
        <w:rPr>
          <w:rFonts w:ascii="Theinhardt Regular"/>
          <w:color w:val="383638"/>
          <w:sz w:val="18"/>
        </w:rPr>
        <w:t> </w:t>
      </w:r>
      <w:r>
        <w:rPr>
          <w:rFonts w:ascii="Theinhardt Regular"/>
          <w:color w:val="383638"/>
          <w:spacing w:val="-1"/>
          <w:sz w:val="18"/>
        </w:rPr>
        <w:t>kann.</w:t>
      </w:r>
      <w:r>
        <w:rPr>
          <w:rFonts w:ascii="Theinhardt Regular"/>
          <w:sz w:val="18"/>
        </w:rPr>
      </w:r>
    </w:p>
    <w:p>
      <w:pPr>
        <w:pStyle w:val="BodyText"/>
        <w:spacing w:line="230" w:lineRule="exact" w:before="90"/>
        <w:ind w:right="0"/>
        <w:jc w:val="both"/>
        <w:rPr>
          <w:i w:val="0"/>
        </w:rPr>
      </w:pPr>
      <w:r>
        <w:rPr>
          <w:i w:val="0"/>
        </w:rPr>
        <w:br w:type="column"/>
      </w:r>
      <w:r>
        <w:rPr>
          <w:color w:val="383638"/>
          <w:spacing w:val="-1"/>
        </w:rPr>
        <w:t>celle-ci</w:t>
      </w:r>
      <w:r>
        <w:rPr>
          <w:color w:val="383638"/>
          <w:spacing w:val="23"/>
        </w:rPr>
        <w:t> </w:t>
      </w:r>
      <w:r>
        <w:rPr>
          <w:color w:val="383638"/>
        </w:rPr>
        <w:t>a</w:t>
      </w:r>
      <w:r>
        <w:rPr>
          <w:color w:val="383638"/>
          <w:spacing w:val="23"/>
        </w:rPr>
        <w:t> </w:t>
      </w:r>
      <w:r>
        <w:rPr>
          <w:color w:val="383638"/>
        </w:rPr>
        <w:t>fait</w:t>
      </w:r>
      <w:r>
        <w:rPr>
          <w:color w:val="383638"/>
          <w:spacing w:val="23"/>
        </w:rPr>
        <w:t> </w:t>
      </w:r>
      <w:r>
        <w:rPr>
          <w:color w:val="383638"/>
          <w:spacing w:val="-2"/>
        </w:rPr>
        <w:t>l’objet</w:t>
      </w:r>
      <w:r>
        <w:rPr>
          <w:color w:val="383638"/>
          <w:spacing w:val="23"/>
        </w:rPr>
        <w:t> </w:t>
      </w:r>
      <w:r>
        <w:rPr>
          <w:color w:val="383638"/>
          <w:spacing w:val="-1"/>
        </w:rPr>
        <w:t>d’une</w:t>
      </w:r>
      <w:r>
        <w:rPr>
          <w:color w:val="383638"/>
          <w:spacing w:val="23"/>
        </w:rPr>
        <w:t> </w:t>
      </w:r>
      <w:r>
        <w:rPr>
          <w:color w:val="383638"/>
          <w:spacing w:val="-2"/>
        </w:rPr>
        <w:t>rénovation</w:t>
      </w:r>
      <w:r>
        <w:rPr>
          <w:color w:val="383638"/>
          <w:spacing w:val="23"/>
        </w:rPr>
        <w:t> </w:t>
      </w:r>
      <w:r>
        <w:rPr>
          <w:color w:val="383638"/>
          <w:spacing w:val="-1"/>
        </w:rPr>
        <w:t>com-</w:t>
      </w:r>
      <w:r>
        <w:rPr>
          <w:color w:val="383638"/>
          <w:spacing w:val="35"/>
        </w:rPr>
        <w:t> </w:t>
      </w:r>
      <w:r>
        <w:rPr>
          <w:color w:val="383638"/>
          <w:spacing w:val="-2"/>
        </w:rPr>
        <w:t>plète.</w:t>
      </w:r>
      <w:r>
        <w:rPr>
          <w:color w:val="383638"/>
          <w:spacing w:val="20"/>
        </w:rPr>
        <w:t> </w:t>
      </w:r>
      <w:r>
        <w:rPr>
          <w:color w:val="383638"/>
          <w:spacing w:val="-4"/>
        </w:rPr>
        <w:t>L’escalier</w:t>
      </w:r>
      <w:r>
        <w:rPr>
          <w:color w:val="383638"/>
          <w:spacing w:val="26"/>
        </w:rPr>
        <w:t> </w:t>
      </w:r>
      <w:r>
        <w:rPr>
          <w:color w:val="383638"/>
        </w:rPr>
        <w:t>a</w:t>
      </w:r>
      <w:r>
        <w:rPr>
          <w:color w:val="383638"/>
          <w:spacing w:val="27"/>
        </w:rPr>
        <w:t> </w:t>
      </w:r>
      <w:r>
        <w:rPr>
          <w:color w:val="383638"/>
          <w:spacing w:val="-2"/>
        </w:rPr>
        <w:t>été</w:t>
      </w:r>
      <w:r>
        <w:rPr>
          <w:color w:val="383638"/>
          <w:spacing w:val="26"/>
        </w:rPr>
        <w:t> </w:t>
      </w:r>
      <w:r>
        <w:rPr>
          <w:color w:val="383638"/>
          <w:spacing w:val="-1"/>
        </w:rPr>
        <w:t>déplacé</w:t>
      </w:r>
      <w:r>
        <w:rPr>
          <w:color w:val="383638"/>
          <w:spacing w:val="27"/>
        </w:rPr>
        <w:t> </w:t>
      </w:r>
      <w:r>
        <w:rPr>
          <w:color w:val="383638"/>
          <w:spacing w:val="-1"/>
        </w:rPr>
        <w:t>vers</w:t>
      </w:r>
      <w:r>
        <w:rPr>
          <w:color w:val="383638"/>
          <w:spacing w:val="27"/>
        </w:rPr>
        <w:t> </w:t>
      </w:r>
      <w:r>
        <w:rPr>
          <w:color w:val="383638"/>
          <w:spacing w:val="-1"/>
        </w:rPr>
        <w:t>cet</w:t>
      </w:r>
      <w:r>
        <w:rPr>
          <w:color w:val="383638"/>
          <w:spacing w:val="26"/>
        </w:rPr>
        <w:t> </w:t>
      </w:r>
      <w:r>
        <w:rPr>
          <w:color w:val="383638"/>
        </w:rPr>
        <w:t>ag-</w:t>
      </w:r>
      <w:r>
        <w:rPr>
          <w:color w:val="383638"/>
          <w:spacing w:val="31"/>
        </w:rPr>
        <w:t> </w:t>
      </w:r>
      <w:r>
        <w:rPr>
          <w:color w:val="383638"/>
          <w:spacing w:val="-1"/>
        </w:rPr>
        <w:t>randissement,</w:t>
      </w:r>
      <w:r>
        <w:rPr>
          <w:color w:val="383638"/>
          <w:spacing w:val="-12"/>
        </w:rPr>
        <w:t> </w:t>
      </w:r>
      <w:r>
        <w:rPr>
          <w:color w:val="383638"/>
        </w:rPr>
        <w:t>libérant</w:t>
      </w:r>
      <w:r>
        <w:rPr>
          <w:color w:val="383638"/>
          <w:spacing w:val="-4"/>
        </w:rPr>
        <w:t> </w:t>
      </w:r>
      <w:r>
        <w:rPr>
          <w:color w:val="383638"/>
        </w:rPr>
        <w:t>ainsi</w:t>
      </w:r>
      <w:r>
        <w:rPr>
          <w:color w:val="383638"/>
          <w:spacing w:val="-4"/>
        </w:rPr>
        <w:t> </w:t>
      </w:r>
      <w:r>
        <w:rPr>
          <w:color w:val="383638"/>
          <w:spacing w:val="-2"/>
        </w:rPr>
        <w:t>de</w:t>
      </w:r>
      <w:r>
        <w:rPr>
          <w:color w:val="383638"/>
          <w:spacing w:val="-4"/>
        </w:rPr>
        <w:t> </w:t>
      </w:r>
      <w:r>
        <w:rPr>
          <w:color w:val="383638"/>
          <w:spacing w:val="-2"/>
        </w:rPr>
        <w:t>l’espace</w:t>
      </w:r>
      <w:r>
        <w:rPr>
          <w:color w:val="383638"/>
          <w:spacing w:val="-4"/>
        </w:rPr>
        <w:t> </w:t>
      </w:r>
      <w:r>
        <w:rPr>
          <w:color w:val="383638"/>
        </w:rPr>
        <w:t>pour</w:t>
      </w:r>
      <w:r>
        <w:rPr>
          <w:color w:val="383638"/>
          <w:spacing w:val="35"/>
        </w:rPr>
        <w:t> </w:t>
      </w:r>
      <w:r>
        <w:rPr>
          <w:color w:val="383638"/>
          <w:spacing w:val="-1"/>
        </w:rPr>
        <w:t>des</w:t>
      </w:r>
      <w:r>
        <w:rPr>
          <w:color w:val="383638"/>
          <w:spacing w:val="21"/>
        </w:rPr>
        <w:t> </w:t>
      </w:r>
      <w:r>
        <w:rPr>
          <w:color w:val="383638"/>
          <w:spacing w:val="-2"/>
        </w:rPr>
        <w:t>pièces</w:t>
      </w:r>
      <w:r>
        <w:rPr>
          <w:color w:val="383638"/>
          <w:spacing w:val="21"/>
        </w:rPr>
        <w:t> </w:t>
      </w:r>
      <w:r>
        <w:rPr>
          <w:color w:val="383638"/>
        </w:rPr>
        <w:t>plus</w:t>
      </w:r>
      <w:r>
        <w:rPr>
          <w:color w:val="383638"/>
          <w:spacing w:val="21"/>
        </w:rPr>
        <w:t> </w:t>
      </w:r>
      <w:r>
        <w:rPr>
          <w:color w:val="383638"/>
          <w:spacing w:val="-1"/>
        </w:rPr>
        <w:t>spacieuses</w:t>
      </w:r>
      <w:r>
        <w:rPr>
          <w:color w:val="383638"/>
          <w:spacing w:val="21"/>
        </w:rPr>
        <w:t> </w:t>
      </w:r>
      <w:r>
        <w:rPr>
          <w:color w:val="383638"/>
          <w:spacing w:val="1"/>
        </w:rPr>
        <w:t>au</w:t>
      </w:r>
      <w:r>
        <w:rPr>
          <w:color w:val="383638"/>
          <w:spacing w:val="21"/>
        </w:rPr>
        <w:t> </w:t>
      </w:r>
      <w:r>
        <w:rPr>
          <w:color w:val="383638"/>
          <w:spacing w:val="-1"/>
        </w:rPr>
        <w:t>sous-sol,</w:t>
      </w:r>
      <w:r>
        <w:rPr>
          <w:color w:val="383638"/>
          <w:spacing w:val="14"/>
        </w:rPr>
        <w:t> </w:t>
      </w:r>
      <w:r>
        <w:rPr>
          <w:color w:val="383638"/>
          <w:spacing w:val="1"/>
        </w:rPr>
        <w:t>au</w:t>
      </w:r>
      <w:r>
        <w:rPr>
          <w:color w:val="383638"/>
          <w:spacing w:val="23"/>
        </w:rPr>
        <w:t> </w:t>
      </w:r>
      <w:r>
        <w:rPr>
          <w:color w:val="383638"/>
          <w:spacing w:val="-1"/>
        </w:rPr>
        <w:t>rez-de-chaussée</w:t>
      </w:r>
      <w:r>
        <w:rPr>
          <w:color w:val="383638"/>
        </w:rPr>
        <w:t> et </w:t>
      </w:r>
      <w:r>
        <w:rPr>
          <w:color w:val="383638"/>
          <w:spacing w:val="1"/>
        </w:rPr>
        <w:t>au</w:t>
      </w:r>
      <w:r>
        <w:rPr>
          <w:color w:val="383638"/>
        </w:rPr>
        <w:t> </w:t>
      </w:r>
      <w:r>
        <w:rPr>
          <w:color w:val="383638"/>
          <w:spacing w:val="-2"/>
        </w:rPr>
        <w:t>premier</w:t>
      </w:r>
      <w:r>
        <w:rPr>
          <w:color w:val="383638"/>
        </w:rPr>
        <w:t> </w:t>
      </w:r>
      <w:r>
        <w:rPr>
          <w:color w:val="383638"/>
          <w:spacing w:val="-1"/>
        </w:rPr>
        <w:t>étage.</w:t>
      </w:r>
      <w:r>
        <w:rPr>
          <w:i w:val="0"/>
        </w:rPr>
      </w:r>
    </w:p>
    <w:p>
      <w:pPr>
        <w:pStyle w:val="BodyText"/>
        <w:spacing w:line="230" w:lineRule="exact"/>
        <w:ind w:right="0" w:firstLine="226"/>
        <w:jc w:val="both"/>
        <w:rPr>
          <w:i w:val="0"/>
        </w:rPr>
      </w:pPr>
      <w:r>
        <w:rPr>
          <w:color w:val="383638"/>
          <w:spacing w:val="-3"/>
        </w:rPr>
        <w:t>Les</w:t>
      </w:r>
      <w:r>
        <w:rPr>
          <w:color w:val="383638"/>
          <w:spacing w:val="-12"/>
        </w:rPr>
        <w:t> </w:t>
      </w:r>
      <w:r>
        <w:rPr>
          <w:color w:val="383638"/>
        </w:rPr>
        <w:t>murs</w:t>
      </w:r>
      <w:r>
        <w:rPr>
          <w:color w:val="383638"/>
          <w:spacing w:val="-12"/>
        </w:rPr>
        <w:t> </w:t>
      </w:r>
      <w:r>
        <w:rPr>
          <w:color w:val="383638"/>
          <w:spacing w:val="-2"/>
        </w:rPr>
        <w:t>extérieurs</w:t>
      </w:r>
      <w:r>
        <w:rPr>
          <w:color w:val="383638"/>
          <w:spacing w:val="-12"/>
        </w:rPr>
        <w:t> </w:t>
      </w:r>
      <w:r>
        <w:rPr>
          <w:color w:val="383638"/>
          <w:spacing w:val="-1"/>
        </w:rPr>
        <w:t>se</w:t>
      </w:r>
      <w:r>
        <w:rPr>
          <w:color w:val="383638"/>
          <w:spacing w:val="-12"/>
        </w:rPr>
        <w:t> </w:t>
      </w:r>
      <w:r>
        <w:rPr>
          <w:color w:val="383638"/>
          <w:spacing w:val="-1"/>
        </w:rPr>
        <w:t>sont</w:t>
      </w:r>
      <w:r>
        <w:rPr>
          <w:color w:val="383638"/>
          <w:spacing w:val="-12"/>
        </w:rPr>
        <w:t> </w:t>
      </w:r>
      <w:r>
        <w:rPr>
          <w:color w:val="383638"/>
          <w:spacing w:val="-1"/>
        </w:rPr>
        <w:t>épaissis</w:t>
      </w:r>
      <w:r>
        <w:rPr>
          <w:color w:val="383638"/>
          <w:spacing w:val="-12"/>
        </w:rPr>
        <w:t> </w:t>
      </w:r>
      <w:r>
        <w:rPr>
          <w:color w:val="383638"/>
          <w:spacing w:val="-1"/>
        </w:rPr>
        <w:t>d’une</w:t>
      </w:r>
      <w:r>
        <w:rPr>
          <w:color w:val="383638"/>
          <w:spacing w:val="37"/>
        </w:rPr>
        <w:t> </w:t>
      </w:r>
      <w:r>
        <w:rPr>
          <w:color w:val="383638"/>
          <w:spacing w:val="-1"/>
        </w:rPr>
        <w:t>isolation</w:t>
      </w:r>
      <w:r>
        <w:rPr>
          <w:color w:val="383638"/>
          <w:spacing w:val="-7"/>
        </w:rPr>
        <w:t> </w:t>
      </w:r>
      <w:r>
        <w:rPr>
          <w:color w:val="383638"/>
          <w:spacing w:val="-2"/>
        </w:rPr>
        <w:t>thermique</w:t>
      </w:r>
      <w:r>
        <w:rPr>
          <w:color w:val="383638"/>
          <w:spacing w:val="-7"/>
        </w:rPr>
        <w:t> </w:t>
      </w:r>
      <w:r>
        <w:rPr>
          <w:color w:val="383638"/>
          <w:spacing w:val="-2"/>
        </w:rPr>
        <w:t>de</w:t>
      </w:r>
      <w:r>
        <w:rPr>
          <w:color w:val="383638"/>
          <w:spacing w:val="-7"/>
        </w:rPr>
        <w:t> </w:t>
      </w:r>
      <w:r>
        <w:rPr>
          <w:color w:val="383638"/>
        </w:rPr>
        <w:t>24</w:t>
      </w:r>
      <w:r>
        <w:rPr>
          <w:color w:val="383638"/>
          <w:spacing w:val="-7"/>
        </w:rPr>
        <w:t> </w:t>
      </w:r>
      <w:r>
        <w:rPr>
          <w:color w:val="383638"/>
          <w:spacing w:val="-1"/>
        </w:rPr>
        <w:t>cm</w:t>
      </w:r>
      <w:r>
        <w:rPr>
          <w:color w:val="383638"/>
          <w:spacing w:val="-7"/>
        </w:rPr>
        <w:t> </w:t>
      </w:r>
      <w:r>
        <w:rPr>
          <w:color w:val="383638"/>
          <w:spacing w:val="-3"/>
        </w:rPr>
        <w:t>d’épaisseur.</w:t>
      </w:r>
      <w:r>
        <w:rPr>
          <w:color w:val="383638"/>
          <w:spacing w:val="-14"/>
        </w:rPr>
        <w:t> </w:t>
      </w:r>
      <w:r>
        <w:rPr>
          <w:color w:val="383638"/>
          <w:spacing w:val="-5"/>
        </w:rPr>
        <w:t>Le</w:t>
      </w:r>
      <w:r>
        <w:rPr>
          <w:color w:val="383638"/>
          <w:spacing w:val="51"/>
        </w:rPr>
        <w:t> </w:t>
      </w:r>
      <w:r>
        <w:rPr>
          <w:color w:val="383638"/>
          <w:spacing w:val="-1"/>
        </w:rPr>
        <w:t>toit</w:t>
      </w:r>
      <w:r>
        <w:rPr>
          <w:color w:val="383638"/>
          <w:spacing w:val="6"/>
        </w:rPr>
        <w:t> </w:t>
      </w:r>
      <w:r>
        <w:rPr>
          <w:color w:val="383638"/>
        </w:rPr>
        <w:t>a</w:t>
      </w:r>
      <w:r>
        <w:rPr>
          <w:color w:val="383638"/>
          <w:spacing w:val="6"/>
        </w:rPr>
        <w:t> </w:t>
      </w:r>
      <w:r>
        <w:rPr>
          <w:color w:val="383638"/>
          <w:spacing w:val="-2"/>
        </w:rPr>
        <w:t>été</w:t>
      </w:r>
      <w:r>
        <w:rPr>
          <w:color w:val="383638"/>
          <w:spacing w:val="6"/>
        </w:rPr>
        <w:t> </w:t>
      </w:r>
      <w:r>
        <w:rPr>
          <w:color w:val="383638"/>
          <w:spacing w:val="-1"/>
        </w:rPr>
        <w:t>isolé</w:t>
      </w:r>
      <w:r>
        <w:rPr>
          <w:color w:val="383638"/>
          <w:spacing w:val="6"/>
        </w:rPr>
        <w:t> </w:t>
      </w:r>
      <w:r>
        <w:rPr>
          <w:color w:val="383638"/>
          <w:spacing w:val="-2"/>
        </w:rPr>
        <w:t>de</w:t>
      </w:r>
      <w:r>
        <w:rPr>
          <w:color w:val="383638"/>
          <w:spacing w:val="6"/>
        </w:rPr>
        <w:t> </w:t>
      </w:r>
      <w:r>
        <w:rPr>
          <w:color w:val="383638"/>
          <w:spacing w:val="-1"/>
        </w:rPr>
        <w:t>l’intérieur</w:t>
      </w:r>
      <w:r>
        <w:rPr>
          <w:color w:val="383638"/>
          <w:spacing w:val="6"/>
        </w:rPr>
        <w:t> </w:t>
      </w:r>
      <w:r>
        <w:rPr>
          <w:color w:val="383638"/>
        </w:rPr>
        <w:t>et</w:t>
      </w:r>
      <w:r>
        <w:rPr>
          <w:color w:val="383638"/>
          <w:spacing w:val="6"/>
        </w:rPr>
        <w:t> </w:t>
      </w:r>
      <w:r>
        <w:rPr>
          <w:color w:val="383638"/>
          <w:spacing w:val="-1"/>
        </w:rPr>
        <w:t>équipé</w:t>
      </w:r>
      <w:r>
        <w:rPr>
          <w:color w:val="383638"/>
          <w:spacing w:val="6"/>
        </w:rPr>
        <w:t> </w:t>
      </w:r>
      <w:r>
        <w:rPr>
          <w:color w:val="383638"/>
          <w:spacing w:val="-1"/>
        </w:rPr>
        <w:t>d’une</w:t>
      </w:r>
      <w:r>
        <w:rPr>
          <w:color w:val="383638"/>
          <w:spacing w:val="27"/>
        </w:rPr>
        <w:t> </w:t>
      </w:r>
      <w:r>
        <w:rPr>
          <w:color w:val="383638"/>
          <w:spacing w:val="-2"/>
        </w:rPr>
        <w:t>nouvelle</w:t>
      </w:r>
      <w:r>
        <w:rPr>
          <w:color w:val="383638"/>
          <w:spacing w:val="-14"/>
        </w:rPr>
        <w:t> </w:t>
      </w:r>
      <w:r>
        <w:rPr>
          <w:color w:val="383638"/>
          <w:spacing w:val="-1"/>
        </w:rPr>
        <w:t>aération</w:t>
      </w:r>
      <w:r>
        <w:rPr>
          <w:color w:val="383638"/>
          <w:spacing w:val="-14"/>
        </w:rPr>
        <w:t> </w:t>
      </w:r>
      <w:r>
        <w:rPr>
          <w:color w:val="383638"/>
        </w:rPr>
        <w:t>par</w:t>
      </w:r>
      <w:r>
        <w:rPr>
          <w:color w:val="383638"/>
          <w:spacing w:val="-14"/>
        </w:rPr>
        <w:t> </w:t>
      </w:r>
      <w:r>
        <w:rPr>
          <w:color w:val="383638"/>
          <w:spacing w:val="-1"/>
        </w:rPr>
        <w:t>l’arrière.</w:t>
      </w:r>
      <w:r>
        <w:rPr>
          <w:color w:val="383638"/>
          <w:spacing w:val="-21"/>
        </w:rPr>
        <w:t> </w:t>
      </w:r>
      <w:r>
        <w:rPr>
          <w:color w:val="383638"/>
          <w:spacing w:val="-1"/>
        </w:rPr>
        <w:t>Avec</w:t>
      </w:r>
      <w:r>
        <w:rPr>
          <w:color w:val="383638"/>
          <w:spacing w:val="-14"/>
        </w:rPr>
        <w:t> </w:t>
      </w:r>
      <w:r>
        <w:rPr>
          <w:color w:val="383638"/>
          <w:spacing w:val="-1"/>
        </w:rPr>
        <w:t>les</w:t>
      </w:r>
      <w:r>
        <w:rPr>
          <w:color w:val="383638"/>
          <w:spacing w:val="-14"/>
        </w:rPr>
        <w:t> </w:t>
      </w:r>
      <w:r>
        <w:rPr>
          <w:color w:val="383638"/>
        </w:rPr>
        <w:t>15</w:t>
      </w:r>
      <w:r>
        <w:rPr>
          <w:color w:val="383638"/>
          <w:spacing w:val="-14"/>
        </w:rPr>
        <w:t> </w:t>
      </w:r>
      <w:r>
        <w:rPr>
          <w:color w:val="383638"/>
          <w:spacing w:val="-1"/>
        </w:rPr>
        <w:t>cm</w:t>
      </w:r>
      <w:r>
        <w:rPr>
          <w:color w:val="383638"/>
          <w:spacing w:val="33"/>
        </w:rPr>
        <w:t> </w:t>
      </w:r>
      <w:r>
        <w:rPr>
          <w:color w:val="383638"/>
          <w:spacing w:val="-1"/>
        </w:rPr>
        <w:t>d’isolation</w:t>
      </w:r>
      <w:r>
        <w:rPr>
          <w:color w:val="383638"/>
          <w:spacing w:val="2"/>
        </w:rPr>
        <w:t> </w:t>
      </w:r>
      <w:r>
        <w:rPr>
          <w:color w:val="383638"/>
          <w:spacing w:val="-2"/>
        </w:rPr>
        <w:t>de</w:t>
      </w:r>
      <w:r>
        <w:rPr>
          <w:color w:val="383638"/>
          <w:spacing w:val="2"/>
        </w:rPr>
        <w:t> </w:t>
      </w:r>
      <w:r>
        <w:rPr>
          <w:color w:val="383638"/>
        </w:rPr>
        <w:t>la</w:t>
      </w:r>
      <w:r>
        <w:rPr>
          <w:color w:val="383638"/>
          <w:spacing w:val="2"/>
        </w:rPr>
        <w:t> </w:t>
      </w:r>
      <w:r>
        <w:rPr>
          <w:color w:val="383638"/>
          <w:spacing w:val="-1"/>
        </w:rPr>
        <w:t>dalle</w:t>
      </w:r>
      <w:r>
        <w:rPr>
          <w:color w:val="383638"/>
          <w:spacing w:val="2"/>
        </w:rPr>
        <w:t> </w:t>
      </w:r>
      <w:r>
        <w:rPr>
          <w:color w:val="383638"/>
        </w:rPr>
        <w:t>du</w:t>
      </w:r>
      <w:r>
        <w:rPr>
          <w:color w:val="383638"/>
          <w:spacing w:val="2"/>
        </w:rPr>
        <w:t> </w:t>
      </w:r>
      <w:r>
        <w:rPr>
          <w:color w:val="383638"/>
          <w:spacing w:val="-1"/>
        </w:rPr>
        <w:t>sous-sol</w:t>
      </w:r>
      <w:r>
        <w:rPr>
          <w:color w:val="383638"/>
          <w:spacing w:val="2"/>
        </w:rPr>
        <w:t> </w:t>
      </w:r>
      <w:r>
        <w:rPr>
          <w:color w:val="383638"/>
        </w:rPr>
        <w:t>et</w:t>
      </w:r>
      <w:r>
        <w:rPr>
          <w:color w:val="383638"/>
          <w:spacing w:val="2"/>
        </w:rPr>
        <w:t> </w:t>
      </w:r>
      <w:r>
        <w:rPr>
          <w:color w:val="383638"/>
          <w:spacing w:val="-2"/>
        </w:rPr>
        <w:t>le</w:t>
      </w:r>
      <w:r>
        <w:rPr>
          <w:color w:val="383638"/>
          <w:spacing w:val="2"/>
        </w:rPr>
        <w:t> </w:t>
      </w:r>
      <w:r>
        <w:rPr>
          <w:color w:val="383638"/>
          <w:spacing w:val="-1"/>
        </w:rPr>
        <w:t>triple</w:t>
      </w:r>
      <w:r>
        <w:rPr>
          <w:color w:val="383638"/>
          <w:spacing w:val="39"/>
        </w:rPr>
        <w:t> </w:t>
      </w:r>
      <w:r>
        <w:rPr>
          <w:color w:val="383638"/>
          <w:spacing w:val="-1"/>
        </w:rPr>
        <w:t>vitrage,</w:t>
      </w:r>
      <w:r>
        <w:rPr>
          <w:color w:val="383638"/>
          <w:spacing w:val="11"/>
        </w:rPr>
        <w:t> </w:t>
      </w:r>
      <w:r>
        <w:rPr>
          <w:color w:val="383638"/>
          <w:spacing w:val="-1"/>
        </w:rPr>
        <w:t>les</w:t>
      </w:r>
      <w:r>
        <w:rPr>
          <w:color w:val="383638"/>
          <w:spacing w:val="18"/>
        </w:rPr>
        <w:t> </w:t>
      </w:r>
      <w:r>
        <w:rPr>
          <w:color w:val="383638"/>
          <w:spacing w:val="-1"/>
        </w:rPr>
        <w:t>besoins</w:t>
      </w:r>
      <w:r>
        <w:rPr>
          <w:color w:val="383638"/>
          <w:spacing w:val="18"/>
        </w:rPr>
        <w:t> </w:t>
      </w:r>
      <w:r>
        <w:rPr>
          <w:color w:val="383638"/>
          <w:spacing w:val="-1"/>
        </w:rPr>
        <w:t>en</w:t>
      </w:r>
      <w:r>
        <w:rPr>
          <w:color w:val="383638"/>
          <w:spacing w:val="18"/>
        </w:rPr>
        <w:t> </w:t>
      </w:r>
      <w:r>
        <w:rPr>
          <w:color w:val="383638"/>
          <w:spacing w:val="-2"/>
        </w:rPr>
        <w:t>énergie</w:t>
      </w:r>
      <w:r>
        <w:rPr>
          <w:color w:val="383638"/>
          <w:spacing w:val="18"/>
        </w:rPr>
        <w:t> </w:t>
      </w:r>
      <w:r>
        <w:rPr>
          <w:color w:val="383638"/>
        </w:rPr>
        <w:t>ont</w:t>
      </w:r>
      <w:r>
        <w:rPr>
          <w:color w:val="383638"/>
          <w:spacing w:val="18"/>
        </w:rPr>
        <w:t> </w:t>
      </w:r>
      <w:r>
        <w:rPr>
          <w:color w:val="383638"/>
          <w:spacing w:val="-1"/>
        </w:rPr>
        <w:t>diminué</w:t>
      </w:r>
      <w:r>
        <w:rPr>
          <w:color w:val="383638"/>
          <w:spacing w:val="37"/>
        </w:rPr>
        <w:t> </w:t>
      </w:r>
      <w:r>
        <w:rPr>
          <w:color w:val="383638"/>
          <w:spacing w:val="-2"/>
        </w:rPr>
        <w:t>de</w:t>
      </w:r>
      <w:r>
        <w:rPr>
          <w:color w:val="383638"/>
          <w:spacing w:val="8"/>
        </w:rPr>
        <w:t> </w:t>
      </w:r>
      <w:r>
        <w:rPr>
          <w:color w:val="383638"/>
        </w:rPr>
        <w:t>plus</w:t>
      </w:r>
      <w:r>
        <w:rPr>
          <w:color w:val="383638"/>
          <w:spacing w:val="8"/>
        </w:rPr>
        <w:t> </w:t>
      </w:r>
      <w:r>
        <w:rPr>
          <w:color w:val="383638"/>
          <w:spacing w:val="-2"/>
        </w:rPr>
        <w:t>de</w:t>
      </w:r>
      <w:r>
        <w:rPr>
          <w:color w:val="383638"/>
          <w:spacing w:val="8"/>
        </w:rPr>
        <w:t> </w:t>
      </w:r>
      <w:r>
        <w:rPr>
          <w:color w:val="383638"/>
        </w:rPr>
        <w:t>50%,</w:t>
      </w:r>
      <w:r>
        <w:rPr>
          <w:color w:val="383638"/>
          <w:spacing w:val="1"/>
        </w:rPr>
        <w:t> </w:t>
      </w:r>
      <w:r>
        <w:rPr>
          <w:color w:val="383638"/>
        </w:rPr>
        <w:t>passant</w:t>
      </w:r>
      <w:r>
        <w:rPr>
          <w:color w:val="383638"/>
          <w:spacing w:val="8"/>
        </w:rPr>
        <w:t> </w:t>
      </w:r>
      <w:r>
        <w:rPr>
          <w:color w:val="383638"/>
          <w:spacing w:val="-2"/>
        </w:rPr>
        <w:t>de</w:t>
      </w:r>
      <w:r>
        <w:rPr>
          <w:color w:val="383638"/>
          <w:spacing w:val="8"/>
        </w:rPr>
        <w:t> </w:t>
      </w:r>
      <w:r>
        <w:rPr>
          <w:color w:val="383638"/>
        </w:rPr>
        <w:t>24’900</w:t>
      </w:r>
      <w:r>
        <w:rPr>
          <w:color w:val="383638"/>
          <w:spacing w:val="8"/>
        </w:rPr>
        <w:t> </w:t>
      </w:r>
      <w:r>
        <w:rPr>
          <w:color w:val="383638"/>
          <w:spacing w:val="-3"/>
        </w:rPr>
        <w:t>kWh/a</w:t>
      </w:r>
      <w:r>
        <w:rPr>
          <w:color w:val="383638"/>
          <w:spacing w:val="26"/>
        </w:rPr>
        <w:t> </w:t>
      </w:r>
      <w:r>
        <w:rPr>
          <w:color w:val="383638"/>
        </w:rPr>
        <w:t>à</w:t>
      </w:r>
      <w:r>
        <w:rPr>
          <w:color w:val="383638"/>
          <w:spacing w:val="5"/>
        </w:rPr>
        <w:t> </w:t>
      </w:r>
      <w:r>
        <w:rPr>
          <w:color w:val="383638"/>
        </w:rPr>
        <w:t>10’200</w:t>
      </w:r>
      <w:r>
        <w:rPr>
          <w:color w:val="383638"/>
          <w:spacing w:val="5"/>
        </w:rPr>
        <w:t> </w:t>
      </w:r>
      <w:r>
        <w:rPr>
          <w:color w:val="383638"/>
          <w:spacing w:val="-2"/>
        </w:rPr>
        <w:t>kWh/a. L’installation</w:t>
      </w:r>
      <w:r>
        <w:rPr>
          <w:color w:val="383638"/>
          <w:spacing w:val="5"/>
        </w:rPr>
        <w:t> </w:t>
      </w:r>
      <w:r>
        <w:rPr>
          <w:color w:val="383638"/>
          <w:spacing w:val="1"/>
        </w:rPr>
        <w:t>PV</w:t>
      </w:r>
      <w:r>
        <w:rPr>
          <w:color w:val="383638"/>
          <w:spacing w:val="5"/>
        </w:rPr>
        <w:t> </w:t>
      </w:r>
      <w:r>
        <w:rPr>
          <w:color w:val="383638"/>
          <w:spacing w:val="-2"/>
        </w:rPr>
        <w:t>de</w:t>
      </w:r>
      <w:r>
        <w:rPr>
          <w:color w:val="383638"/>
          <w:spacing w:val="5"/>
        </w:rPr>
        <w:t> </w:t>
      </w:r>
      <w:r>
        <w:rPr>
          <w:color w:val="383638"/>
        </w:rPr>
        <w:t>5</w:t>
      </w:r>
      <w:r>
        <w:rPr>
          <w:color w:val="383638"/>
          <w:spacing w:val="5"/>
        </w:rPr>
        <w:t> </w:t>
      </w:r>
      <w:r>
        <w:rPr>
          <w:color w:val="383638"/>
          <w:spacing w:val="-2"/>
        </w:rPr>
        <w:t>kWc</w:t>
      </w:r>
      <w:r>
        <w:rPr>
          <w:color w:val="383638"/>
          <w:spacing w:val="23"/>
        </w:rPr>
        <w:t> </w:t>
      </w:r>
      <w:r>
        <w:rPr>
          <w:color w:val="383638"/>
        </w:rPr>
        <w:t>et</w:t>
      </w:r>
      <w:r>
        <w:rPr>
          <w:color w:val="383638"/>
          <w:spacing w:val="5"/>
        </w:rPr>
        <w:t> </w:t>
      </w:r>
      <w:r>
        <w:rPr>
          <w:color w:val="383638"/>
        </w:rPr>
        <w:t>29,5</w:t>
      </w:r>
      <w:r>
        <w:rPr>
          <w:color w:val="383638"/>
          <w:spacing w:val="5"/>
        </w:rPr>
        <w:t> </w:t>
      </w:r>
      <w:r>
        <w:rPr>
          <w:color w:val="231F20"/>
        </w:rPr>
        <w:t>m</w:t>
      </w:r>
      <w:r>
        <w:rPr>
          <w:color w:val="231F20"/>
          <w:position w:val="6"/>
          <w:sz w:val="10"/>
          <w:szCs w:val="10"/>
        </w:rPr>
        <w:t>2 </w:t>
      </w:r>
      <w:r>
        <w:rPr>
          <w:color w:val="383638"/>
          <w:spacing w:val="-2"/>
        </w:rPr>
        <w:t>recouvre</w:t>
      </w:r>
      <w:r>
        <w:rPr>
          <w:color w:val="383638"/>
          <w:spacing w:val="5"/>
        </w:rPr>
        <w:t> </w:t>
      </w:r>
      <w:r>
        <w:rPr>
          <w:color w:val="383638"/>
          <w:spacing w:val="-2"/>
        </w:rPr>
        <w:t>le</w:t>
      </w:r>
      <w:r>
        <w:rPr>
          <w:color w:val="383638"/>
          <w:spacing w:val="6"/>
        </w:rPr>
        <w:t> </w:t>
      </w:r>
      <w:r>
        <w:rPr>
          <w:color w:val="383638"/>
          <w:spacing w:val="-2"/>
        </w:rPr>
        <w:t>côté</w:t>
      </w:r>
      <w:r>
        <w:rPr>
          <w:color w:val="383638"/>
          <w:spacing w:val="5"/>
        </w:rPr>
        <w:t> </w:t>
      </w:r>
      <w:r>
        <w:rPr>
          <w:color w:val="383638"/>
          <w:spacing w:val="-2"/>
        </w:rPr>
        <w:t>sud</w:t>
      </w:r>
      <w:r>
        <w:rPr>
          <w:color w:val="383638"/>
          <w:spacing w:val="5"/>
        </w:rPr>
        <w:t> </w:t>
      </w:r>
      <w:r>
        <w:rPr>
          <w:color w:val="383638"/>
        </w:rPr>
        <w:t>du</w:t>
      </w:r>
      <w:r>
        <w:rPr>
          <w:color w:val="383638"/>
          <w:spacing w:val="5"/>
        </w:rPr>
        <w:t> </w:t>
      </w:r>
      <w:r>
        <w:rPr>
          <w:color w:val="383638"/>
          <w:spacing w:val="-1"/>
        </w:rPr>
        <w:t>toit</w:t>
      </w:r>
      <w:r>
        <w:rPr>
          <w:color w:val="383638"/>
          <w:spacing w:val="6"/>
        </w:rPr>
        <w:t> </w:t>
      </w:r>
      <w:r>
        <w:rPr>
          <w:color w:val="383638"/>
        </w:rPr>
        <w:t>à</w:t>
      </w:r>
      <w:r>
        <w:rPr>
          <w:color w:val="383638"/>
          <w:spacing w:val="5"/>
        </w:rPr>
        <w:t> </w:t>
      </w:r>
      <w:r>
        <w:rPr>
          <w:color w:val="383638"/>
          <w:spacing w:val="-1"/>
        </w:rPr>
        <w:t>pi-</w:t>
      </w:r>
      <w:r>
        <w:rPr>
          <w:color w:val="383638"/>
          <w:spacing w:val="30"/>
        </w:rPr>
        <w:t> </w:t>
      </w:r>
      <w:r>
        <w:rPr>
          <w:color w:val="383638"/>
          <w:spacing w:val="-1"/>
        </w:rPr>
        <w:t>gnon.</w:t>
      </w:r>
      <w:r>
        <w:rPr>
          <w:color w:val="383638"/>
          <w:spacing w:val="19"/>
        </w:rPr>
        <w:t> </w:t>
      </w:r>
      <w:r>
        <w:rPr>
          <w:color w:val="383638"/>
          <w:spacing w:val="-1"/>
        </w:rPr>
        <w:t>Elle</w:t>
      </w:r>
      <w:r>
        <w:rPr>
          <w:color w:val="383638"/>
          <w:spacing w:val="25"/>
        </w:rPr>
        <w:t> </w:t>
      </w:r>
      <w:r>
        <w:rPr>
          <w:color w:val="383638"/>
          <w:spacing w:val="-1"/>
        </w:rPr>
        <w:t>fournit</w:t>
      </w:r>
      <w:r>
        <w:rPr>
          <w:color w:val="383638"/>
          <w:spacing w:val="26"/>
        </w:rPr>
        <w:t> </w:t>
      </w:r>
      <w:r>
        <w:rPr>
          <w:color w:val="383638"/>
          <w:spacing w:val="-2"/>
        </w:rPr>
        <w:t>quelque</w:t>
      </w:r>
      <w:r>
        <w:rPr>
          <w:color w:val="383638"/>
          <w:spacing w:val="25"/>
        </w:rPr>
        <w:t> </w:t>
      </w:r>
      <w:r>
        <w:rPr>
          <w:color w:val="383638"/>
        </w:rPr>
        <w:t>5’850</w:t>
      </w:r>
      <w:r>
        <w:rPr>
          <w:color w:val="383638"/>
          <w:spacing w:val="26"/>
        </w:rPr>
        <w:t> </w:t>
      </w:r>
      <w:r>
        <w:rPr>
          <w:color w:val="383638"/>
          <w:spacing w:val="-3"/>
        </w:rPr>
        <w:t>kWh/a</w:t>
      </w:r>
      <w:r>
        <w:rPr>
          <w:color w:val="383638"/>
          <w:spacing w:val="26"/>
        </w:rPr>
        <w:t> </w:t>
      </w:r>
      <w:r>
        <w:rPr>
          <w:color w:val="383638"/>
        </w:rPr>
        <w:t>et</w:t>
      </w:r>
      <w:r>
        <w:rPr>
          <w:color w:val="383638"/>
          <w:spacing w:val="29"/>
        </w:rPr>
        <w:t> </w:t>
      </w:r>
      <w:r>
        <w:rPr>
          <w:color w:val="383638"/>
          <w:spacing w:val="-2"/>
        </w:rPr>
        <w:t>répond</w:t>
      </w:r>
      <w:r>
        <w:rPr>
          <w:color w:val="383638"/>
          <w:spacing w:val="30"/>
        </w:rPr>
        <w:t> </w:t>
      </w:r>
      <w:r>
        <w:rPr>
          <w:color w:val="383638"/>
        </w:rPr>
        <w:t>ainsi</w:t>
      </w:r>
      <w:r>
        <w:rPr>
          <w:color w:val="383638"/>
          <w:spacing w:val="31"/>
        </w:rPr>
        <w:t> </w:t>
      </w:r>
      <w:r>
        <w:rPr>
          <w:color w:val="383638"/>
        </w:rPr>
        <w:t>aux</w:t>
      </w:r>
      <w:r>
        <w:rPr>
          <w:color w:val="383638"/>
          <w:spacing w:val="30"/>
        </w:rPr>
        <w:t> </w:t>
      </w:r>
      <w:r>
        <w:rPr>
          <w:color w:val="383638"/>
          <w:spacing w:val="-1"/>
        </w:rPr>
        <w:t>besoins</w:t>
      </w:r>
      <w:r>
        <w:rPr>
          <w:color w:val="383638"/>
          <w:spacing w:val="31"/>
        </w:rPr>
        <w:t> </w:t>
      </w:r>
      <w:r>
        <w:rPr>
          <w:color w:val="383638"/>
          <w:spacing w:val="-1"/>
        </w:rPr>
        <w:t>en</w:t>
      </w:r>
      <w:r>
        <w:rPr>
          <w:color w:val="383638"/>
          <w:spacing w:val="31"/>
        </w:rPr>
        <w:t> </w:t>
      </w:r>
      <w:r>
        <w:rPr>
          <w:color w:val="383638"/>
          <w:spacing w:val="-2"/>
        </w:rPr>
        <w:t>électricité.</w:t>
      </w:r>
      <w:r>
        <w:rPr>
          <w:color w:val="383638"/>
          <w:spacing w:val="23"/>
        </w:rPr>
        <w:t> </w:t>
      </w:r>
      <w:r>
        <w:rPr>
          <w:color w:val="383638"/>
          <w:spacing w:val="-5"/>
        </w:rPr>
        <w:t>Le</w:t>
      </w:r>
      <w:r>
        <w:rPr>
          <w:color w:val="383638"/>
          <w:spacing w:val="49"/>
        </w:rPr>
        <w:t> </w:t>
      </w:r>
      <w:r>
        <w:rPr>
          <w:color w:val="383638"/>
          <w:spacing w:val="-2"/>
        </w:rPr>
        <w:t>solde</w:t>
      </w:r>
      <w:r>
        <w:rPr>
          <w:color w:val="383638"/>
          <w:spacing w:val="4"/>
        </w:rPr>
        <w:t> </w:t>
      </w:r>
      <w:r>
        <w:rPr>
          <w:color w:val="383638"/>
          <w:spacing w:val="-2"/>
        </w:rPr>
        <w:t>d’énergie</w:t>
      </w:r>
      <w:r>
        <w:rPr>
          <w:color w:val="383638"/>
        </w:rPr>
        <w:t> </w:t>
      </w:r>
      <w:r>
        <w:rPr>
          <w:color w:val="383638"/>
          <w:spacing w:val="4"/>
        </w:rPr>
        <w:t> </w:t>
      </w:r>
      <w:r>
        <w:rPr>
          <w:color w:val="383638"/>
          <w:spacing w:val="-2"/>
        </w:rPr>
        <w:t>thermique</w:t>
      </w:r>
      <w:r>
        <w:rPr>
          <w:color w:val="383638"/>
        </w:rPr>
        <w:t> </w:t>
      </w:r>
      <w:r>
        <w:rPr>
          <w:color w:val="383638"/>
          <w:spacing w:val="4"/>
        </w:rPr>
        <w:t> </w:t>
      </w:r>
      <w:r>
        <w:rPr>
          <w:color w:val="383638"/>
          <w:spacing w:val="-1"/>
        </w:rPr>
        <w:t>vient</w:t>
      </w:r>
      <w:r>
        <w:rPr>
          <w:color w:val="383638"/>
        </w:rPr>
        <w:t> </w:t>
      </w:r>
      <w:r>
        <w:rPr>
          <w:color w:val="383638"/>
          <w:spacing w:val="4"/>
        </w:rPr>
        <w:t> </w:t>
      </w:r>
      <w:r>
        <w:rPr>
          <w:color w:val="383638"/>
        </w:rPr>
        <w:t>du </w:t>
      </w:r>
      <w:r>
        <w:rPr>
          <w:color w:val="383638"/>
          <w:spacing w:val="4"/>
        </w:rPr>
        <w:t> </w:t>
      </w:r>
      <w:r>
        <w:rPr>
          <w:color w:val="383638"/>
          <w:spacing w:val="-1"/>
        </w:rPr>
        <w:t>poêle</w:t>
      </w:r>
      <w:r>
        <w:rPr>
          <w:color w:val="383638"/>
          <w:spacing w:val="25"/>
        </w:rPr>
        <w:t> </w:t>
      </w:r>
      <w:r>
        <w:rPr>
          <w:color w:val="383638"/>
        </w:rPr>
        <w:t>à</w:t>
      </w:r>
      <w:r>
        <w:rPr>
          <w:color w:val="383638"/>
          <w:spacing w:val="37"/>
        </w:rPr>
        <w:t> </w:t>
      </w:r>
      <w:r>
        <w:rPr>
          <w:color w:val="383638"/>
          <w:spacing w:val="-1"/>
        </w:rPr>
        <w:t>accumulation</w:t>
      </w:r>
      <w:r>
        <w:rPr>
          <w:color w:val="383638"/>
          <w:spacing w:val="38"/>
        </w:rPr>
        <w:t> </w:t>
      </w:r>
      <w:r>
        <w:rPr>
          <w:color w:val="383638"/>
          <w:spacing w:val="-1"/>
        </w:rPr>
        <w:t>central</w:t>
      </w:r>
      <w:r>
        <w:rPr>
          <w:color w:val="383638"/>
          <w:spacing w:val="37"/>
        </w:rPr>
        <w:t> </w:t>
      </w:r>
      <w:r>
        <w:rPr>
          <w:color w:val="383638"/>
          <w:spacing w:val="-2"/>
        </w:rPr>
        <w:t>avec</w:t>
      </w:r>
      <w:r>
        <w:rPr>
          <w:color w:val="383638"/>
          <w:spacing w:val="38"/>
        </w:rPr>
        <w:t> </w:t>
      </w:r>
      <w:r>
        <w:rPr>
          <w:color w:val="383638"/>
          <w:spacing w:val="-2"/>
        </w:rPr>
        <w:t>registre</w:t>
      </w:r>
      <w:r>
        <w:rPr>
          <w:color w:val="383638"/>
          <w:spacing w:val="38"/>
        </w:rPr>
        <w:t> </w:t>
      </w:r>
      <w:r>
        <w:rPr>
          <w:color w:val="383638"/>
          <w:spacing w:val="-1"/>
        </w:rPr>
        <w:t>d’eau</w:t>
      </w:r>
      <w:r>
        <w:rPr>
          <w:color w:val="383638"/>
          <w:spacing w:val="35"/>
        </w:rPr>
        <w:t> </w:t>
      </w:r>
      <w:r>
        <w:rPr>
          <w:color w:val="383638"/>
          <w:spacing w:val="-1"/>
        </w:rPr>
        <w:t>chaude.</w:t>
      </w:r>
      <w:r>
        <w:rPr>
          <w:color w:val="383638"/>
          <w:spacing w:val="-15"/>
        </w:rPr>
        <w:t> </w:t>
      </w:r>
      <w:r>
        <w:rPr>
          <w:color w:val="383638"/>
          <w:spacing w:val="-2"/>
        </w:rPr>
        <w:t>La</w:t>
      </w:r>
      <w:r>
        <w:rPr>
          <w:color w:val="383638"/>
          <w:spacing w:val="-8"/>
        </w:rPr>
        <w:t> </w:t>
      </w:r>
      <w:r>
        <w:rPr>
          <w:color w:val="383638"/>
          <w:spacing w:val="-1"/>
        </w:rPr>
        <w:t>famille</w:t>
      </w:r>
      <w:r>
        <w:rPr>
          <w:color w:val="383638"/>
          <w:spacing w:val="-15"/>
        </w:rPr>
        <w:t> </w:t>
      </w:r>
      <w:r>
        <w:rPr>
          <w:color w:val="383638"/>
          <w:spacing w:val="-4"/>
        </w:rPr>
        <w:t>Torres</w:t>
      </w:r>
      <w:r>
        <w:rPr>
          <w:color w:val="383638"/>
          <w:spacing w:val="-8"/>
        </w:rPr>
        <w:t> </w:t>
      </w:r>
      <w:r>
        <w:rPr>
          <w:color w:val="383638"/>
          <w:spacing w:val="-1"/>
        </w:rPr>
        <w:t>Nova</w:t>
      </w:r>
      <w:r>
        <w:rPr>
          <w:color w:val="383638"/>
          <w:spacing w:val="-8"/>
        </w:rPr>
        <w:t> </w:t>
      </w:r>
      <w:r>
        <w:rPr>
          <w:color w:val="383638"/>
          <w:spacing w:val="-1"/>
        </w:rPr>
        <w:t>utilise</w:t>
      </w:r>
      <w:r>
        <w:rPr>
          <w:color w:val="383638"/>
          <w:spacing w:val="-8"/>
        </w:rPr>
        <w:t> </w:t>
      </w:r>
      <w:r>
        <w:rPr>
          <w:color w:val="383638"/>
          <w:spacing w:val="-1"/>
        </w:rPr>
        <w:t>environ</w:t>
      </w:r>
      <w:r>
        <w:rPr>
          <w:color w:val="383638"/>
          <w:spacing w:val="35"/>
        </w:rPr>
        <w:t> </w:t>
      </w:r>
      <w:r>
        <w:rPr>
          <w:color w:val="383638"/>
          <w:spacing w:val="-1"/>
        </w:rPr>
        <w:t>deux</w:t>
      </w:r>
      <w:r>
        <w:rPr>
          <w:color w:val="383638"/>
          <w:spacing w:val="-3"/>
        </w:rPr>
        <w:t> </w:t>
      </w:r>
      <w:r>
        <w:rPr>
          <w:color w:val="383638"/>
          <w:spacing w:val="-2"/>
        </w:rPr>
        <w:t>stères</w:t>
      </w:r>
      <w:r>
        <w:rPr>
          <w:color w:val="383638"/>
          <w:spacing w:val="-3"/>
        </w:rPr>
        <w:t> </w:t>
      </w:r>
      <w:r>
        <w:rPr>
          <w:color w:val="383638"/>
          <w:spacing w:val="-2"/>
        </w:rPr>
        <w:t>de</w:t>
      </w:r>
      <w:r>
        <w:rPr>
          <w:color w:val="383638"/>
          <w:spacing w:val="-3"/>
        </w:rPr>
        <w:t> </w:t>
      </w:r>
      <w:r>
        <w:rPr>
          <w:color w:val="383638"/>
        </w:rPr>
        <w:t>bois</w:t>
      </w:r>
      <w:r>
        <w:rPr>
          <w:color w:val="383638"/>
          <w:spacing w:val="-3"/>
        </w:rPr>
        <w:t> </w:t>
      </w:r>
      <w:r>
        <w:rPr>
          <w:color w:val="383638"/>
        </w:rPr>
        <w:t>par</w:t>
      </w:r>
      <w:r>
        <w:rPr>
          <w:color w:val="383638"/>
          <w:spacing w:val="-3"/>
        </w:rPr>
        <w:t> </w:t>
      </w:r>
      <w:r>
        <w:rPr>
          <w:color w:val="383638"/>
        </w:rPr>
        <w:t>an.</w:t>
      </w:r>
      <w:r>
        <w:rPr>
          <w:color w:val="383638"/>
          <w:spacing w:val="-11"/>
        </w:rPr>
        <w:t> </w:t>
      </w:r>
      <w:r>
        <w:rPr>
          <w:color w:val="383638"/>
          <w:spacing w:val="-1"/>
        </w:rPr>
        <w:t>Pendant</w:t>
      </w:r>
      <w:r>
        <w:rPr>
          <w:color w:val="383638"/>
          <w:spacing w:val="-3"/>
        </w:rPr>
        <w:t> </w:t>
      </w:r>
      <w:r>
        <w:rPr>
          <w:color w:val="383638"/>
          <w:spacing w:val="-1"/>
        </w:rPr>
        <w:t>les</w:t>
      </w:r>
      <w:r>
        <w:rPr>
          <w:color w:val="383638"/>
          <w:spacing w:val="-3"/>
        </w:rPr>
        <w:t> </w:t>
      </w:r>
      <w:r>
        <w:rPr>
          <w:color w:val="383638"/>
          <w:spacing w:val="-1"/>
        </w:rPr>
        <w:t>mois</w:t>
      </w:r>
      <w:r>
        <w:rPr>
          <w:color w:val="383638"/>
          <w:spacing w:val="26"/>
        </w:rPr>
        <w:t> </w:t>
      </w:r>
      <w:r>
        <w:rPr>
          <w:color w:val="383638"/>
          <w:spacing w:val="-2"/>
        </w:rPr>
        <w:t>d’été,</w:t>
      </w:r>
      <w:r>
        <w:rPr>
          <w:color w:val="383638"/>
          <w:spacing w:val="10"/>
        </w:rPr>
        <w:t> </w:t>
      </w:r>
      <w:r>
        <w:rPr>
          <w:color w:val="383638"/>
          <w:spacing w:val="-1"/>
        </w:rPr>
        <w:t>une</w:t>
      </w:r>
      <w:r>
        <w:rPr>
          <w:color w:val="383638"/>
          <w:spacing w:val="17"/>
        </w:rPr>
        <w:t> </w:t>
      </w:r>
      <w:r>
        <w:rPr>
          <w:color w:val="383638"/>
        </w:rPr>
        <w:t>pompe</w:t>
      </w:r>
      <w:r>
        <w:rPr>
          <w:color w:val="383638"/>
          <w:spacing w:val="17"/>
        </w:rPr>
        <w:t> </w:t>
      </w:r>
      <w:r>
        <w:rPr>
          <w:color w:val="383638"/>
        </w:rPr>
        <w:t>à</w:t>
      </w:r>
      <w:r>
        <w:rPr>
          <w:color w:val="383638"/>
          <w:spacing w:val="17"/>
        </w:rPr>
        <w:t> </w:t>
      </w:r>
      <w:r>
        <w:rPr>
          <w:color w:val="383638"/>
          <w:spacing w:val="-1"/>
        </w:rPr>
        <w:t>chaleur</w:t>
      </w:r>
      <w:r>
        <w:rPr>
          <w:color w:val="383638"/>
          <w:spacing w:val="17"/>
        </w:rPr>
        <w:t> </w:t>
      </w:r>
      <w:r>
        <w:rPr>
          <w:color w:val="383638"/>
        </w:rPr>
        <w:t>air-eau</w:t>
      </w:r>
      <w:r>
        <w:rPr>
          <w:color w:val="383638"/>
          <w:spacing w:val="17"/>
        </w:rPr>
        <w:t> </w:t>
      </w:r>
      <w:r>
        <w:rPr>
          <w:color w:val="383638"/>
        </w:rPr>
        <w:t>chauffe</w:t>
      </w:r>
      <w:r>
        <w:rPr>
          <w:color w:val="383638"/>
          <w:spacing w:val="23"/>
        </w:rPr>
        <w:t> </w:t>
      </w:r>
      <w:r>
        <w:rPr>
          <w:color w:val="383638"/>
          <w:spacing w:val="-1"/>
        </w:rPr>
        <w:t>l’eau.</w:t>
      </w:r>
      <w:r>
        <w:rPr>
          <w:color w:val="383638"/>
        </w:rPr>
        <w:t> Ainsi, la</w:t>
      </w:r>
      <w:r>
        <w:rPr>
          <w:color w:val="383638"/>
          <w:spacing w:val="7"/>
        </w:rPr>
        <w:t> </w:t>
      </w:r>
      <w:r>
        <w:rPr>
          <w:color w:val="383638"/>
          <w:spacing w:val="-1"/>
        </w:rPr>
        <w:t>maison</w:t>
      </w:r>
      <w:r>
        <w:rPr>
          <w:color w:val="383638"/>
          <w:spacing w:val="7"/>
        </w:rPr>
        <w:t> </w:t>
      </w:r>
      <w:r>
        <w:rPr>
          <w:color w:val="383638"/>
          <w:spacing w:val="-2"/>
        </w:rPr>
        <w:t>couvre</w:t>
      </w:r>
      <w:r>
        <w:rPr>
          <w:color w:val="383638"/>
          <w:spacing w:val="7"/>
        </w:rPr>
        <w:t> </w:t>
      </w:r>
      <w:r>
        <w:rPr>
          <w:color w:val="383638"/>
        </w:rPr>
        <w:t>sa</w:t>
      </w:r>
      <w:r>
        <w:rPr>
          <w:color w:val="383638"/>
          <w:spacing w:val="7"/>
        </w:rPr>
        <w:t> </w:t>
      </w:r>
      <w:r>
        <w:rPr>
          <w:color w:val="383638"/>
          <w:spacing w:val="-1"/>
        </w:rPr>
        <w:t>consomma-</w:t>
      </w:r>
      <w:r>
        <w:rPr>
          <w:color w:val="383638"/>
          <w:spacing w:val="31"/>
        </w:rPr>
        <w:t> </w:t>
      </w:r>
      <w:r>
        <w:rPr>
          <w:color w:val="383638"/>
          <w:spacing w:val="-1"/>
        </w:rPr>
        <w:t>tion</w:t>
      </w:r>
      <w:r>
        <w:rPr>
          <w:color w:val="383638"/>
          <w:spacing w:val="14"/>
        </w:rPr>
        <w:t> </w:t>
      </w:r>
      <w:r>
        <w:rPr>
          <w:color w:val="383638"/>
          <w:spacing w:val="-2"/>
        </w:rPr>
        <w:t>presque</w:t>
      </w:r>
      <w:r>
        <w:rPr>
          <w:color w:val="383638"/>
          <w:spacing w:val="14"/>
        </w:rPr>
        <w:t> </w:t>
      </w:r>
      <w:r>
        <w:rPr>
          <w:color w:val="383638"/>
          <w:spacing w:val="-2"/>
        </w:rPr>
        <w:t>uniquement</w:t>
      </w:r>
      <w:r>
        <w:rPr>
          <w:color w:val="383638"/>
          <w:spacing w:val="14"/>
        </w:rPr>
        <w:t> </w:t>
      </w:r>
      <w:r>
        <w:rPr>
          <w:color w:val="383638"/>
          <w:spacing w:val="-2"/>
        </w:rPr>
        <w:t>avec</w:t>
      </w:r>
      <w:r>
        <w:rPr>
          <w:color w:val="383638"/>
          <w:spacing w:val="14"/>
        </w:rPr>
        <w:t> </w:t>
      </w:r>
      <w:r>
        <w:rPr>
          <w:color w:val="383638"/>
          <w:spacing w:val="-1"/>
        </w:rPr>
        <w:t>des</w:t>
      </w:r>
      <w:r>
        <w:rPr>
          <w:color w:val="383638"/>
          <w:spacing w:val="14"/>
        </w:rPr>
        <w:t> </w:t>
      </w:r>
      <w:r>
        <w:rPr>
          <w:color w:val="383638"/>
          <w:spacing w:val="-2"/>
        </w:rPr>
        <w:t>énergies</w:t>
      </w:r>
      <w:r>
        <w:rPr>
          <w:color w:val="383638"/>
          <w:spacing w:val="37"/>
        </w:rPr>
        <w:t> </w:t>
      </w:r>
      <w:r>
        <w:rPr>
          <w:color w:val="383638"/>
          <w:spacing w:val="-1"/>
        </w:rPr>
        <w:t>renouvelables.</w:t>
      </w:r>
      <w:r>
        <w:rPr>
          <w:i w:val="0"/>
        </w:rPr>
      </w:r>
    </w:p>
    <w:p>
      <w:pPr>
        <w:pStyle w:val="BodyText"/>
        <w:spacing w:line="230" w:lineRule="exact"/>
        <w:ind w:right="0" w:firstLine="226"/>
        <w:jc w:val="both"/>
        <w:rPr>
          <w:i w:val="0"/>
        </w:rPr>
      </w:pPr>
      <w:r>
        <w:rPr>
          <w:color w:val="383638"/>
          <w:spacing w:val="-2"/>
        </w:rPr>
        <w:t>La</w:t>
      </w:r>
      <w:r>
        <w:rPr>
          <w:color w:val="383638"/>
          <w:spacing w:val="2"/>
        </w:rPr>
        <w:t> </w:t>
      </w:r>
      <w:r>
        <w:rPr>
          <w:color w:val="383638"/>
          <w:spacing w:val="-1"/>
        </w:rPr>
        <w:t>transformation</w:t>
      </w:r>
      <w:r>
        <w:rPr>
          <w:color w:val="383638"/>
        </w:rPr>
        <w:t> </w:t>
      </w:r>
      <w:r>
        <w:rPr>
          <w:color w:val="383638"/>
          <w:spacing w:val="2"/>
        </w:rPr>
        <w:t> </w:t>
      </w:r>
      <w:r>
        <w:rPr>
          <w:color w:val="383638"/>
          <w:spacing w:val="-2"/>
        </w:rPr>
        <w:t>de</w:t>
      </w:r>
      <w:r>
        <w:rPr>
          <w:color w:val="383638"/>
        </w:rPr>
        <w:t> </w:t>
      </w:r>
      <w:r>
        <w:rPr>
          <w:color w:val="383638"/>
          <w:spacing w:val="2"/>
        </w:rPr>
        <w:t> </w:t>
      </w:r>
      <w:r>
        <w:rPr>
          <w:color w:val="383638"/>
        </w:rPr>
        <w:t>la </w:t>
      </w:r>
      <w:r>
        <w:rPr>
          <w:color w:val="383638"/>
          <w:spacing w:val="2"/>
        </w:rPr>
        <w:t> </w:t>
      </w:r>
      <w:r>
        <w:rPr>
          <w:color w:val="383638"/>
        </w:rPr>
        <w:t>Göblistrasse</w:t>
      </w:r>
      <w:r>
        <w:rPr>
          <w:color w:val="383638"/>
          <w:spacing w:val="27"/>
        </w:rPr>
        <w:t> </w:t>
      </w:r>
      <w:r>
        <w:rPr>
          <w:color w:val="383638"/>
        </w:rPr>
        <w:t>29b</w:t>
      </w:r>
      <w:r>
        <w:rPr>
          <w:color w:val="383638"/>
          <w:spacing w:val="9"/>
        </w:rPr>
        <w:t> </w:t>
      </w:r>
      <w:r>
        <w:rPr>
          <w:color w:val="383638"/>
          <w:spacing w:val="-1"/>
        </w:rPr>
        <w:t>montre,</w:t>
      </w:r>
      <w:r>
        <w:rPr>
          <w:color w:val="383638"/>
          <w:spacing w:val="2"/>
        </w:rPr>
        <w:t> </w:t>
      </w:r>
      <w:r>
        <w:rPr>
          <w:color w:val="383638"/>
          <w:spacing w:val="-2"/>
        </w:rPr>
        <w:t>de</w:t>
      </w:r>
      <w:r>
        <w:rPr>
          <w:color w:val="383638"/>
          <w:spacing w:val="9"/>
        </w:rPr>
        <w:t> </w:t>
      </w:r>
      <w:r>
        <w:rPr>
          <w:color w:val="383638"/>
          <w:spacing w:val="-2"/>
        </w:rPr>
        <w:t>manière</w:t>
      </w:r>
      <w:r>
        <w:rPr>
          <w:color w:val="383638"/>
          <w:spacing w:val="9"/>
        </w:rPr>
        <w:t> </w:t>
      </w:r>
      <w:r>
        <w:rPr>
          <w:color w:val="383638"/>
          <w:spacing w:val="-2"/>
        </w:rPr>
        <w:t>exemplaire,</w:t>
      </w:r>
      <w:r>
        <w:rPr>
          <w:color w:val="383638"/>
          <w:spacing w:val="2"/>
        </w:rPr>
        <w:t> </w:t>
      </w:r>
      <w:r>
        <w:rPr>
          <w:color w:val="383638"/>
          <w:spacing w:val="-2"/>
        </w:rPr>
        <w:t>que</w:t>
      </w:r>
      <w:r>
        <w:rPr>
          <w:color w:val="383638"/>
          <w:spacing w:val="29"/>
        </w:rPr>
        <w:t> </w:t>
      </w:r>
      <w:r>
        <w:rPr>
          <w:color w:val="383638"/>
          <w:spacing w:val="-1"/>
        </w:rPr>
        <w:t>l’aspect</w:t>
      </w:r>
      <w:r>
        <w:rPr>
          <w:color w:val="383638"/>
          <w:spacing w:val="1"/>
        </w:rPr>
        <w:t> </w:t>
      </w:r>
      <w:r>
        <w:rPr>
          <w:color w:val="383638"/>
          <w:spacing w:val="-1"/>
        </w:rPr>
        <w:t>général</w:t>
      </w:r>
      <w:r>
        <w:rPr>
          <w:color w:val="383638"/>
          <w:spacing w:val="1"/>
        </w:rPr>
        <w:t> </w:t>
      </w:r>
      <w:r>
        <w:rPr>
          <w:color w:val="383638"/>
          <w:spacing w:val="-1"/>
        </w:rPr>
        <w:t>d’une</w:t>
      </w:r>
      <w:r>
        <w:rPr>
          <w:color w:val="383638"/>
          <w:spacing w:val="1"/>
        </w:rPr>
        <w:t> </w:t>
      </w:r>
      <w:r>
        <w:rPr>
          <w:color w:val="383638"/>
          <w:spacing w:val="-1"/>
        </w:rPr>
        <w:t>maison</w:t>
      </w:r>
      <w:r>
        <w:rPr>
          <w:color w:val="383638"/>
          <w:spacing w:val="1"/>
        </w:rPr>
        <w:t> </w:t>
      </w:r>
      <w:r>
        <w:rPr>
          <w:color w:val="383638"/>
          <w:spacing w:val="-2"/>
        </w:rPr>
        <w:t>contiguë</w:t>
      </w:r>
      <w:r>
        <w:rPr>
          <w:color w:val="383638"/>
          <w:spacing w:val="1"/>
        </w:rPr>
        <w:t> </w:t>
      </w:r>
      <w:r>
        <w:rPr>
          <w:color w:val="383638"/>
        </w:rPr>
        <w:t>peut</w:t>
      </w:r>
      <w:r>
        <w:rPr>
          <w:color w:val="383638"/>
          <w:spacing w:val="37"/>
        </w:rPr>
        <w:t> </w:t>
      </w:r>
      <w:r>
        <w:rPr>
          <w:color w:val="383638"/>
          <w:spacing w:val="-1"/>
        </w:rPr>
        <w:t>être</w:t>
      </w:r>
      <w:r>
        <w:rPr>
          <w:color w:val="383638"/>
          <w:spacing w:val="40"/>
        </w:rPr>
        <w:t> </w:t>
      </w:r>
      <w:r>
        <w:rPr>
          <w:color w:val="383638"/>
          <w:spacing w:val="-1"/>
        </w:rPr>
        <w:t>préservé</w:t>
      </w:r>
      <w:r>
        <w:rPr>
          <w:color w:val="383638"/>
          <w:spacing w:val="41"/>
        </w:rPr>
        <w:t> </w:t>
      </w:r>
      <w:r>
        <w:rPr>
          <w:color w:val="383638"/>
          <w:spacing w:val="-2"/>
        </w:rPr>
        <w:t>même</w:t>
      </w:r>
      <w:r>
        <w:rPr>
          <w:color w:val="383638"/>
          <w:spacing w:val="40"/>
        </w:rPr>
        <w:t> </w:t>
      </w:r>
      <w:r>
        <w:rPr>
          <w:color w:val="383638"/>
          <w:spacing w:val="-1"/>
        </w:rPr>
        <w:t>lors</w:t>
      </w:r>
      <w:r>
        <w:rPr>
          <w:color w:val="383638"/>
          <w:spacing w:val="41"/>
        </w:rPr>
        <w:t> </w:t>
      </w:r>
      <w:r>
        <w:rPr>
          <w:color w:val="383638"/>
          <w:spacing w:val="-1"/>
        </w:rPr>
        <w:t>d’une</w:t>
      </w:r>
      <w:r>
        <w:rPr>
          <w:color w:val="383638"/>
          <w:spacing w:val="41"/>
        </w:rPr>
        <w:t> </w:t>
      </w:r>
      <w:r>
        <w:rPr>
          <w:color w:val="383638"/>
          <w:spacing w:val="-2"/>
        </w:rPr>
        <w:t>rénovation</w:t>
      </w:r>
      <w:r>
        <w:rPr>
          <w:color w:val="383638"/>
          <w:spacing w:val="33"/>
        </w:rPr>
        <w:t> </w:t>
      </w:r>
      <w:r>
        <w:rPr>
          <w:color w:val="383638"/>
          <w:spacing w:val="-2"/>
        </w:rPr>
        <w:t>énergétique</w:t>
      </w:r>
      <w:r>
        <w:rPr>
          <w:color w:val="383638"/>
          <w:spacing w:val="20"/>
        </w:rPr>
        <w:t> </w:t>
      </w:r>
      <w:r>
        <w:rPr>
          <w:color w:val="383638"/>
        </w:rPr>
        <w:t>et</w:t>
      </w:r>
      <w:r>
        <w:rPr>
          <w:color w:val="383638"/>
          <w:spacing w:val="20"/>
        </w:rPr>
        <w:t> </w:t>
      </w:r>
      <w:r>
        <w:rPr>
          <w:color w:val="383638"/>
        </w:rPr>
        <w:t>du</w:t>
      </w:r>
      <w:r>
        <w:rPr>
          <w:color w:val="383638"/>
          <w:spacing w:val="20"/>
        </w:rPr>
        <w:t> </w:t>
      </w:r>
      <w:r>
        <w:rPr>
          <w:color w:val="383638"/>
          <w:spacing w:val="-2"/>
        </w:rPr>
        <w:t>recours</w:t>
      </w:r>
      <w:r>
        <w:rPr>
          <w:color w:val="383638"/>
          <w:spacing w:val="20"/>
        </w:rPr>
        <w:t> </w:t>
      </w:r>
      <w:r>
        <w:rPr>
          <w:color w:val="383638"/>
          <w:spacing w:val="1"/>
        </w:rPr>
        <w:t>au</w:t>
      </w:r>
      <w:r>
        <w:rPr>
          <w:color w:val="383638"/>
          <w:spacing w:val="20"/>
        </w:rPr>
        <w:t> </w:t>
      </w:r>
      <w:r>
        <w:rPr>
          <w:color w:val="383638"/>
          <w:spacing w:val="-1"/>
        </w:rPr>
        <w:t>solaire,</w:t>
      </w:r>
      <w:r>
        <w:rPr>
          <w:color w:val="383638"/>
          <w:spacing w:val="13"/>
        </w:rPr>
        <w:t> </w:t>
      </w:r>
      <w:r>
        <w:rPr>
          <w:color w:val="383638"/>
          <w:spacing w:val="-1"/>
        </w:rPr>
        <w:t>grâce</w:t>
      </w:r>
      <w:r>
        <w:rPr>
          <w:color w:val="383638"/>
          <w:spacing w:val="27"/>
        </w:rPr>
        <w:t> </w:t>
      </w:r>
      <w:r>
        <w:rPr>
          <w:color w:val="383638"/>
        </w:rPr>
        <w:t>à</w:t>
      </w:r>
      <w:r>
        <w:rPr>
          <w:color w:val="383638"/>
          <w:spacing w:val="26"/>
        </w:rPr>
        <w:t> </w:t>
      </w:r>
      <w:r>
        <w:rPr>
          <w:color w:val="383638"/>
          <w:spacing w:val="-1"/>
        </w:rPr>
        <w:t>une</w:t>
      </w:r>
      <w:r>
        <w:rPr>
          <w:color w:val="383638"/>
          <w:spacing w:val="27"/>
        </w:rPr>
        <w:t> </w:t>
      </w:r>
      <w:r>
        <w:rPr>
          <w:color w:val="383638"/>
          <w:spacing w:val="-1"/>
        </w:rPr>
        <w:t>adaptation</w:t>
      </w:r>
      <w:r>
        <w:rPr>
          <w:color w:val="383638"/>
          <w:spacing w:val="26"/>
        </w:rPr>
        <w:t> </w:t>
      </w:r>
      <w:r>
        <w:rPr>
          <w:color w:val="383638"/>
          <w:spacing w:val="-1"/>
        </w:rPr>
        <w:t>minutieuse</w:t>
      </w:r>
      <w:r>
        <w:rPr>
          <w:color w:val="383638"/>
          <w:spacing w:val="27"/>
        </w:rPr>
        <w:t> </w:t>
      </w:r>
      <w:r>
        <w:rPr>
          <w:color w:val="383638"/>
          <w:spacing w:val="1"/>
        </w:rPr>
        <w:t>au</w:t>
      </w:r>
      <w:r>
        <w:rPr>
          <w:color w:val="383638"/>
          <w:spacing w:val="27"/>
        </w:rPr>
        <w:t> </w:t>
      </w:r>
      <w:r>
        <w:rPr>
          <w:color w:val="383638"/>
          <w:spacing w:val="-1"/>
        </w:rPr>
        <w:t>patrimoine</w:t>
      </w:r>
      <w:r>
        <w:rPr>
          <w:color w:val="383638"/>
          <w:spacing w:val="35"/>
        </w:rPr>
        <w:t> </w:t>
      </w:r>
      <w:r>
        <w:rPr>
          <w:color w:val="383638"/>
          <w:spacing w:val="-1"/>
        </w:rPr>
        <w:t>architectural</w:t>
      </w:r>
      <w:r>
        <w:rPr>
          <w:color w:val="383638"/>
        </w:rPr>
        <w:t> </w:t>
      </w:r>
      <w:r>
        <w:rPr>
          <w:color w:val="383638"/>
          <w:spacing w:val="-1"/>
        </w:rPr>
        <w:t>voisin.</w:t>
      </w:r>
      <w:r>
        <w:rPr>
          <w:i w:val="0"/>
        </w:rPr>
      </w:r>
    </w:p>
    <w:p>
      <w:pPr>
        <w:tabs>
          <w:tab w:pos="1966" w:val="left" w:leader="none"/>
          <w:tab w:pos="2892" w:val="left" w:leader="none"/>
        </w:tabs>
        <w:spacing w:line="142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/>
        <w:br w:type="column"/>
      </w: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Heizung/WW:</w:t>
        <w:tab/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202.0   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80</w:t>
        <w:tab/>
        <w:t>20’000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2050" w:val="left" w:leader="none"/>
          <w:tab w:pos="2983" w:val="left" w:leader="none"/>
        </w:tabs>
        <w:spacing w:line="160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Elektrizität:</w:t>
        <w:tab/>
        <w:t>49.5   </w:t>
      </w: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20</w:t>
        <w:tab/>
        <w:t>4’900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1970" w:val="left" w:leader="none"/>
          <w:tab w:pos="2891" w:val="left" w:leader="none"/>
        </w:tabs>
        <w:spacing w:line="172" w:lineRule="exact" w:before="0"/>
        <w:ind w:left="117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w w:val="95"/>
          <w:sz w:val="14"/>
          <w:szCs w:val="14"/>
        </w:rPr>
        <w:t>Gesamt-EB*: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4"/>
          <w:szCs w:val="14"/>
        </w:rPr>
        <w:t>251.5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100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24’900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before="32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* Zwei </w:t>
      </w:r>
      <w:r>
        <w:rPr>
          <w:rFonts w:ascii="Theinhardt Regular"/>
          <w:color w:val="231F20"/>
          <w:spacing w:val="1"/>
          <w:sz w:val="14"/>
        </w:rPr>
        <w:t>Personen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als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Wochenaufenthalter</w:t>
      </w:r>
      <w:r>
        <w:rPr>
          <w:rFonts w:ascii="Theinhardt Regular"/>
          <w:sz w:val="14"/>
        </w:rPr>
      </w:r>
    </w:p>
    <w:p>
      <w:pPr>
        <w:spacing w:line="172" w:lineRule="exact" w:before="32"/>
        <w:ind w:left="117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Energiebedarf </w:t>
      </w:r>
      <w:r>
        <w:rPr>
          <w:rFonts w:ascii="Theinhardt Bold"/>
          <w:b/>
          <w:color w:val="231F20"/>
          <w:spacing w:val="1"/>
          <w:sz w:val="14"/>
        </w:rPr>
        <w:t>nach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Sanierung</w:t>
      </w:r>
      <w:r>
        <w:rPr>
          <w:rFonts w:ascii="Theinhardt Bold"/>
          <w:b/>
          <w:color w:val="231F20"/>
          <w:sz w:val="14"/>
        </w:rPr>
        <w:t> (40%)</w:t>
      </w:r>
      <w:r>
        <w:rPr>
          <w:rFonts w:ascii="Theinhardt Bold"/>
          <w:sz w:val="14"/>
        </w:rPr>
      </w:r>
    </w:p>
    <w:p>
      <w:pPr>
        <w:tabs>
          <w:tab w:pos="1778" w:val="left" w:leader="none"/>
          <w:tab w:pos="2055" w:val="left" w:leader="none"/>
          <w:tab w:pos="2960" w:val="left" w:leader="none"/>
        </w:tabs>
        <w:spacing w:line="207" w:lineRule="auto" w:before="5"/>
        <w:ind w:left="117" w:right="223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EBF: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4"/>
          <w:szCs w:val="14"/>
        </w:rPr>
        <w:t>165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m</w:t>
      </w:r>
      <w:r>
        <w:rPr>
          <w:rFonts w:ascii="Theinhardt Regular" w:hAnsi="Theinhardt Regular" w:cs="Theinhardt Regular" w:eastAsia="Theinhardt Regular"/>
          <w:color w:val="231F20"/>
          <w:position w:val="5"/>
          <w:sz w:val="8"/>
          <w:szCs w:val="8"/>
        </w:rPr>
        <w:t>2</w:t>
        <w:tab/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kWh/m</w:t>
      </w:r>
      <w:r>
        <w:rPr>
          <w:rFonts w:ascii="Theinhardt Regular" w:hAnsi="Theinhardt Regular" w:cs="Theinhardt Regular" w:eastAsia="Theinhardt Regular"/>
          <w:color w:val="231F20"/>
          <w:position w:val="5"/>
          <w:sz w:val="8"/>
          <w:szCs w:val="8"/>
        </w:rPr>
        <w:t>2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a    </w:t>
      </w:r>
      <w:r>
        <w:rPr>
          <w:rFonts w:ascii="Theinhardt Regular" w:hAnsi="Theinhardt Regular" w:cs="Theinhardt Regular" w:eastAsia="Theinhardt Regular"/>
          <w:color w:val="231F20"/>
          <w:spacing w:val="3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%</w:t>
        <w:tab/>
        <w:t>kWh/a</w:t>
      </w:r>
      <w:r>
        <w:rPr>
          <w:rFonts w:ascii="Theinhardt Regular" w:hAnsi="Theinhardt Regular" w:cs="Theinhardt Regular" w:eastAsia="Theinhardt Regular"/>
          <w:color w:val="231F20"/>
          <w:spacing w:val="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Heizung/WW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(2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Ster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Holz):</w:t>
        <w:tab/>
        <w:tab/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24.4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  </w:t>
      </w:r>
      <w:r>
        <w:rPr>
          <w:rFonts w:ascii="Theinhardt Regular" w:hAnsi="Theinhardt Regular" w:cs="Theinhardt Regular" w:eastAsia="Theinhardt Regular"/>
          <w:color w:val="231F20"/>
          <w:spacing w:val="3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39</w:t>
        <w:tab/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4’032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2049" w:val="left" w:leader="none"/>
          <w:tab w:pos="2988" w:val="left" w:leader="none"/>
        </w:tabs>
        <w:spacing w:line="154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Elektrizität:</w:t>
        <w:tab/>
        <w:t>36.8   </w:t>
      </w:r>
      <w:r>
        <w:rPr>
          <w:rFonts w:ascii="Theinhardt Regular" w:hAnsi="Theinhardt Regular" w:cs="Theinhardt Regular" w:eastAsia="Theinhardt Regular"/>
          <w:color w:val="231F20"/>
          <w:spacing w:val="3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59</w:t>
        <w:tab/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6’075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2133" w:val="left" w:leader="none"/>
          <w:tab w:pos="2574" w:val="left" w:leader="none"/>
          <w:tab w:pos="3356" w:val="right" w:leader="none"/>
        </w:tabs>
        <w:spacing w:line="160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1"/>
          <w:sz w:val="14"/>
        </w:rPr>
        <w:t>Kochen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(Flüssiggas):</w:t>
        <w:tab/>
      </w:r>
      <w:r>
        <w:rPr>
          <w:rFonts w:ascii="Theinhardt Regular" w:hAnsi="Theinhardt Regular"/>
          <w:color w:val="231F20"/>
          <w:w w:val="95"/>
          <w:sz w:val="14"/>
        </w:rPr>
        <w:t>0.9</w:t>
        <w:tab/>
      </w:r>
      <w:r>
        <w:rPr>
          <w:rFonts w:ascii="Theinhardt Regular" w:hAnsi="Theinhardt Regular"/>
          <w:color w:val="231F20"/>
          <w:sz w:val="14"/>
        </w:rPr>
        <w:t>2</w:t>
        <w:tab/>
      </w:r>
      <w:r>
        <w:rPr>
          <w:rFonts w:ascii="Theinhardt Regular" w:hAnsi="Theinhardt Regular"/>
          <w:color w:val="231F20"/>
          <w:spacing w:val="-3"/>
          <w:sz w:val="14"/>
        </w:rPr>
        <w:t>149</w:t>
      </w:r>
      <w:r>
        <w:rPr>
          <w:rFonts w:ascii="Theinhardt Regular" w:hAnsi="Theinhardt Regular"/>
          <w:sz w:val="14"/>
        </w:rPr>
      </w:r>
    </w:p>
    <w:p>
      <w:pPr>
        <w:tabs>
          <w:tab w:pos="2041" w:val="left" w:leader="none"/>
          <w:tab w:pos="2896" w:val="left" w:leader="none"/>
        </w:tabs>
        <w:spacing w:line="172" w:lineRule="exact" w:before="0"/>
        <w:ind w:left="117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w w:val="95"/>
          <w:sz w:val="14"/>
          <w:szCs w:val="14"/>
        </w:rPr>
        <w:t>Gesamt-EB*: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62.1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100</w:t>
        <w:tab/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10’256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line="172" w:lineRule="exact" w:before="32"/>
        <w:ind w:left="117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Energieversorgung</w:t>
      </w:r>
      <w:r>
        <w:rPr>
          <w:rFonts w:ascii="Theinhardt Bold"/>
          <w:sz w:val="14"/>
        </w:rPr>
      </w:r>
    </w:p>
    <w:p>
      <w:pPr>
        <w:tabs>
          <w:tab w:pos="1135" w:val="left" w:leader="none"/>
          <w:tab w:pos="2980" w:val="left" w:leader="none"/>
        </w:tabs>
        <w:spacing w:line="160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Eigen-EV:</w:t>
        <w:tab/>
      </w:r>
      <w:r>
        <w:rPr>
          <w:rFonts w:ascii="Theinhardt Regular"/>
          <w:color w:val="231F20"/>
          <w:spacing w:val="-1"/>
          <w:sz w:val="14"/>
        </w:rPr>
        <w:t>m</w:t>
      </w:r>
      <w:r>
        <w:rPr>
          <w:rFonts w:ascii="Theinhardt Regular"/>
          <w:color w:val="231F20"/>
          <w:spacing w:val="-1"/>
          <w:position w:val="5"/>
          <w:sz w:val="8"/>
        </w:rPr>
        <w:t>2</w:t>
      </w:r>
      <w:r>
        <w:rPr>
          <w:rFonts w:ascii="Theinhardt Regular"/>
          <w:color w:val="231F20"/>
          <w:position w:val="5"/>
          <w:sz w:val="8"/>
        </w:rPr>
        <w:t>     </w:t>
      </w:r>
      <w:r>
        <w:rPr>
          <w:rFonts w:ascii="Theinhardt Regular"/>
          <w:color w:val="231F20"/>
          <w:spacing w:val="4"/>
          <w:position w:val="5"/>
          <w:sz w:val="8"/>
        </w:rPr>
        <w:t> </w:t>
      </w:r>
      <w:r>
        <w:rPr>
          <w:rFonts w:ascii="Theinhardt Regular"/>
          <w:color w:val="231F20"/>
          <w:sz w:val="14"/>
        </w:rPr>
        <w:t>kWp </w:t>
      </w:r>
      <w:r>
        <w:rPr>
          <w:rFonts w:ascii="Theinhardt Regular"/>
          <w:color w:val="231F20"/>
          <w:spacing w:val="6"/>
          <w:sz w:val="14"/>
        </w:rPr>
        <w:t> </w:t>
      </w:r>
      <w:r>
        <w:rPr>
          <w:rFonts w:ascii="Theinhardt Regular"/>
          <w:color w:val="231F20"/>
          <w:sz w:val="14"/>
        </w:rPr>
        <w:t>kWh/m</w:t>
      </w:r>
      <w:r>
        <w:rPr>
          <w:rFonts w:ascii="Theinhardt Regular"/>
          <w:color w:val="231F20"/>
          <w:position w:val="5"/>
          <w:sz w:val="8"/>
        </w:rPr>
        <w:t>2</w:t>
      </w:r>
      <w:r>
        <w:rPr>
          <w:rFonts w:ascii="Theinhardt Regular"/>
          <w:color w:val="231F20"/>
          <w:sz w:val="14"/>
        </w:rPr>
        <w:t>a    </w:t>
      </w:r>
      <w:r>
        <w:rPr>
          <w:rFonts w:ascii="Theinhardt Regular"/>
          <w:color w:val="231F20"/>
          <w:spacing w:val="2"/>
          <w:sz w:val="14"/>
        </w:rPr>
        <w:t> </w:t>
      </w:r>
      <w:r>
        <w:rPr>
          <w:rFonts w:ascii="Theinhardt Regular"/>
          <w:color w:val="231F20"/>
          <w:sz w:val="14"/>
        </w:rPr>
        <w:t>%</w:t>
        <w:tab/>
        <w:t>kWh/a</w:t>
      </w:r>
      <w:r>
        <w:rPr>
          <w:rFonts w:ascii="Theinhardt Regular"/>
          <w:sz w:val="14"/>
        </w:rPr>
      </w:r>
    </w:p>
    <w:p>
      <w:pPr>
        <w:tabs>
          <w:tab w:pos="1001" w:val="left" w:leader="none"/>
          <w:tab w:pos="2041" w:val="left" w:leader="none"/>
          <w:tab w:pos="2978" w:val="left" w:leader="none"/>
        </w:tabs>
        <w:spacing w:line="172" w:lineRule="exact" w:before="0"/>
        <w:ind w:left="117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PV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Dach:</w:t>
        <w:tab/>
        <w:t>29.5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   </w:t>
      </w:r>
      <w:r>
        <w:rPr>
          <w:rFonts w:ascii="Theinhardt Bold" w:hAnsi="Theinhardt Bold" w:cs="Theinhardt Bold" w:eastAsia="Theinhardt Bold"/>
          <w:b/>
          <w:bCs/>
          <w:color w:val="231F20"/>
          <w:spacing w:val="15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5.0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35.5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  </w:t>
      </w:r>
      <w:r>
        <w:rPr>
          <w:rFonts w:ascii="Theinhardt Bold" w:hAnsi="Theinhardt Bold" w:cs="Theinhardt Bold" w:eastAsia="Theinhardt Bold"/>
          <w:b/>
          <w:bCs/>
          <w:color w:val="231F20"/>
          <w:spacing w:val="35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57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5’850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line="240" w:lineRule="auto" w:before="12"/>
        <w:rPr>
          <w:rFonts w:ascii="Theinhardt Bold" w:hAnsi="Theinhardt Bold" w:cs="Theinhardt Bold" w:eastAsia="Theinhardt Bold"/>
          <w:b/>
          <w:bCs/>
          <w:sz w:val="13"/>
          <w:szCs w:val="13"/>
        </w:rPr>
      </w:pPr>
    </w:p>
    <w:tbl>
      <w:tblPr>
        <w:tblW w:w="0" w:type="auto"/>
        <w:jc w:val="left"/>
        <w:tblInd w:w="6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0"/>
        <w:gridCol w:w="651"/>
        <w:gridCol w:w="619"/>
      </w:tblGrid>
      <w:tr>
        <w:trPr>
          <w:trHeight w:val="133" w:hRule="exact"/>
        </w:trPr>
        <w:tc>
          <w:tcPr>
            <w:tcW w:w="20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3" w:lineRule="exact"/>
              <w:ind w:left="55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z w:val="14"/>
              </w:rPr>
              <w:t>Energiebilanz (Endenergie)</w:t>
            </w:r>
            <w:r>
              <w:rPr>
                <w:rFonts w:ascii="Theinhardt Bold"/>
                <w:sz w:val="14"/>
              </w:rPr>
            </w:r>
          </w:p>
        </w:tc>
        <w:tc>
          <w:tcPr>
            <w:tcW w:w="6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3" w:lineRule="exact"/>
              <w:ind w:left="406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%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3" w:lineRule="exact"/>
              <w:ind w:left="167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kWh/a</w:t>
            </w:r>
            <w:r>
              <w:rPr>
                <w:rFonts w:ascii="Theinhardt Regular"/>
                <w:sz w:val="14"/>
              </w:rPr>
            </w:r>
          </w:p>
        </w:tc>
      </w:tr>
      <w:tr>
        <w:trPr>
          <w:trHeight w:val="159" w:hRule="exact"/>
        </w:trPr>
        <w:tc>
          <w:tcPr>
            <w:tcW w:w="20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9" w:lineRule="exact"/>
              <w:ind w:left="55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z w:val="14"/>
              </w:rPr>
              <w:t>Eigenenergieversorgung:</w:t>
            </w:r>
            <w:r>
              <w:rPr>
                <w:rFonts w:ascii="Theinhardt Bold"/>
                <w:sz w:val="14"/>
              </w:rPr>
            </w:r>
          </w:p>
        </w:tc>
        <w:tc>
          <w:tcPr>
            <w:tcW w:w="6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9" w:lineRule="exact"/>
              <w:ind w:left="370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pacing w:val="-1"/>
                <w:sz w:val="14"/>
              </w:rPr>
              <w:t>57</w:t>
            </w:r>
            <w:r>
              <w:rPr>
                <w:rFonts w:ascii="Theinhardt Bold"/>
                <w:sz w:val="14"/>
              </w:rPr>
            </w:r>
          </w:p>
        </w:tc>
        <w:tc>
          <w:tcPr>
            <w:tcW w:w="6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9" w:lineRule="exact"/>
              <w:ind w:left="186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 w:hAnsi="Theinhardt Bold" w:cs="Theinhardt Bold" w:eastAsia="Theinhardt Bold"/>
                <w:b/>
                <w:bCs/>
                <w:color w:val="231F20"/>
                <w:sz w:val="14"/>
                <w:szCs w:val="14"/>
              </w:rPr>
              <w:t>5’850</w:t>
            </w:r>
            <w:r>
              <w:rPr>
                <w:rFonts w:ascii="Theinhardt Bold" w:hAnsi="Theinhardt Bold" w:cs="Theinhardt Bold" w:eastAsia="Theinhardt Bold"/>
                <w:sz w:val="14"/>
                <w:szCs w:val="14"/>
              </w:rPr>
            </w:r>
          </w:p>
        </w:tc>
      </w:tr>
      <w:tr>
        <w:trPr>
          <w:trHeight w:val="159" w:hRule="exact"/>
        </w:trPr>
        <w:tc>
          <w:tcPr>
            <w:tcW w:w="20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9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Gesamtenergiebedarf: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9" w:lineRule="exact"/>
              <w:ind w:left="287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100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9" w:lineRule="exact"/>
              <w:ind w:left="116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 w:cs="Theinhardt Regular" w:eastAsia="Theinhardt Regular"/>
                <w:color w:val="231F20"/>
                <w:spacing w:val="-1"/>
                <w:sz w:val="14"/>
                <w:szCs w:val="14"/>
              </w:rPr>
              <w:t>10’265</w:t>
            </w:r>
            <w:r>
              <w:rPr>
                <w:rFonts w:ascii="Theinhardt Regular" w:hAnsi="Theinhardt Regular" w:cs="Theinhardt Regular" w:eastAsia="Theinhardt Regular"/>
                <w:sz w:val="14"/>
                <w:szCs w:val="14"/>
              </w:rPr>
            </w:r>
          </w:p>
        </w:tc>
      </w:tr>
      <w:tr>
        <w:trPr>
          <w:trHeight w:val="187" w:hRule="exact"/>
        </w:trPr>
        <w:tc>
          <w:tcPr>
            <w:tcW w:w="20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5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Fremdenergiezufuhr </w:t>
            </w:r>
            <w:r>
              <w:rPr>
                <w:rFonts w:ascii="Theinhardt Regular"/>
                <w:color w:val="231F20"/>
                <w:spacing w:val="1"/>
                <w:sz w:val="14"/>
              </w:rPr>
              <w:t>(Holz):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5" w:lineRule="exact"/>
              <w:ind w:left="365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pacing w:val="4"/>
                <w:sz w:val="14"/>
              </w:rPr>
              <w:t>4</w:t>
            </w:r>
            <w:r>
              <w:rPr>
                <w:rFonts w:ascii="Theinhardt Bold"/>
                <w:b/>
                <w:color w:val="231F20"/>
                <w:sz w:val="14"/>
              </w:rPr>
              <w:t>3</w:t>
            </w:r>
            <w:r>
              <w:rPr>
                <w:rFonts w:ascii="Theinhardt Bold"/>
                <w:sz w:val="14"/>
              </w:rPr>
            </w:r>
          </w:p>
        </w:tc>
        <w:tc>
          <w:tcPr>
            <w:tcW w:w="6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5" w:lineRule="exact"/>
              <w:ind w:left="207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 w:hAnsi="Theinhardt Bold" w:cs="Theinhardt Bold" w:eastAsia="Theinhardt Bold"/>
                <w:b/>
                <w:bCs/>
                <w:color w:val="231F20"/>
                <w:spacing w:val="-4"/>
                <w:sz w:val="14"/>
                <w:szCs w:val="14"/>
              </w:rPr>
              <w:t>4’415</w:t>
            </w:r>
            <w:r>
              <w:rPr>
                <w:rFonts w:ascii="Theinhardt Bold" w:hAnsi="Theinhardt Bold" w:cs="Theinhardt Bold" w:eastAsia="Theinhardt Bold"/>
                <w:sz w:val="14"/>
                <w:szCs w:val="14"/>
              </w:rPr>
            </w:r>
          </w:p>
        </w:tc>
      </w:tr>
    </w:tbl>
    <w:p>
      <w:pPr>
        <w:spacing w:line="160" w:lineRule="exact" w:before="17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pacing w:val="2"/>
          <w:sz w:val="14"/>
        </w:rPr>
        <w:t>Bestätigt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von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4"/>
          <w:sz w:val="14"/>
        </w:rPr>
        <w:t>WWZ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Energie</w:t>
      </w:r>
      <w:r>
        <w:rPr>
          <w:rFonts w:ascii="Theinhardt Bold" w:hAnsi="Theinhardt Bold"/>
          <w:b/>
          <w:color w:val="231F20"/>
          <w:sz w:val="14"/>
        </w:rPr>
        <w:t> AG </w:t>
      </w:r>
      <w:r>
        <w:rPr>
          <w:rFonts w:ascii="Theinhardt Regular" w:hAnsi="Theinhardt Regular"/>
          <w:color w:val="231F20"/>
          <w:sz w:val="14"/>
        </w:rPr>
        <w:t>am </w:t>
      </w:r>
      <w:r>
        <w:rPr>
          <w:rFonts w:ascii="Theinhardt Regular" w:hAnsi="Theinhardt Regular"/>
          <w:color w:val="231F20"/>
          <w:spacing w:val="-1"/>
          <w:sz w:val="14"/>
        </w:rPr>
        <w:t>13.06.2018,</w:t>
      </w:r>
      <w:r>
        <w:rPr>
          <w:rFonts w:ascii="Theinhardt Regular" w:hAnsi="Theinhardt Regular"/>
          <w:color w:val="231F20"/>
          <w:spacing w:val="23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Thomas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Kruschwitz,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2"/>
          <w:sz w:val="14"/>
        </w:rPr>
        <w:t>Tel.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2"/>
          <w:sz w:val="14"/>
        </w:rPr>
        <w:t>041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3"/>
          <w:sz w:val="14"/>
        </w:rPr>
        <w:t>748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45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3"/>
          <w:sz w:val="14"/>
        </w:rPr>
        <w:t>71</w:t>
      </w:r>
      <w:r>
        <w:rPr>
          <w:rFonts w:ascii="Theinhardt Regular" w:hAnsi="Theinhardt Regular"/>
          <w:sz w:val="14"/>
        </w:rPr>
      </w:r>
    </w:p>
    <w:p>
      <w:pPr>
        <w:spacing w:line="240" w:lineRule="auto" w:before="7"/>
        <w:rPr>
          <w:rFonts w:ascii="Theinhardt Regular" w:hAnsi="Theinhardt Regular" w:cs="Theinhardt Regular" w:eastAsia="Theinhardt Regular"/>
          <w:sz w:val="11"/>
          <w:szCs w:val="11"/>
        </w:rPr>
      </w:pPr>
    </w:p>
    <w:p>
      <w:pPr>
        <w:tabs>
          <w:tab w:pos="3449" w:val="left" w:leader="none"/>
        </w:tabs>
        <w:spacing w:before="0"/>
        <w:ind w:left="117" w:right="0" w:firstLine="0"/>
        <w:jc w:val="left"/>
        <w:rPr>
          <w:rFonts w:ascii="Theinhardt Black" w:hAnsi="Theinhardt Black" w:cs="Theinhardt Black" w:eastAsia="Theinhardt Black"/>
          <w:sz w:val="14"/>
          <w:szCs w:val="14"/>
        </w:rPr>
      </w:pPr>
      <w:r>
        <w:rPr>
          <w:rFonts w:ascii="Theinhardt Black"/>
          <w:b/>
          <w:color w:val="231F20"/>
          <w:sz w:val="14"/>
        </w:rPr>
      </w:r>
      <w:r>
        <w:rPr>
          <w:rFonts w:ascii="Theinhardt Black"/>
          <w:b/>
          <w:color w:val="231F20"/>
          <w:spacing w:val="1"/>
          <w:sz w:val="14"/>
          <w:u w:val="dotted" w:color="231F20"/>
        </w:rPr>
        <w:t>Beteiligte</w:t>
      </w:r>
      <w:r>
        <w:rPr>
          <w:rFonts w:ascii="Theinhardt Black"/>
          <w:b/>
          <w:color w:val="231F20"/>
          <w:sz w:val="14"/>
          <w:u w:val="dotted" w:color="231F20"/>
        </w:rPr>
        <w:t> Personen</w:t>
      </w:r>
      <w:r>
        <w:rPr>
          <w:rFonts w:ascii="Theinhardt Black"/>
          <w:b/>
          <w:color w:val="231F20"/>
          <w:sz w:val="14"/>
          <w:u w:val="dotted" w:color="231F20"/>
        </w:rPr>
        <w:t> </w:t>
        <w:tab/>
      </w:r>
      <w:r>
        <w:rPr>
          <w:rFonts w:ascii="Theinhardt Black"/>
          <w:b/>
          <w:color w:val="231F20"/>
          <w:sz w:val="14"/>
        </w:rPr>
      </w:r>
      <w:r>
        <w:rPr>
          <w:rFonts w:ascii="Theinhardt Black"/>
          <w:sz w:val="14"/>
        </w:rPr>
      </w:r>
    </w:p>
    <w:p>
      <w:pPr>
        <w:spacing w:line="240" w:lineRule="auto" w:before="10"/>
        <w:rPr>
          <w:rFonts w:ascii="Theinhardt Black" w:hAnsi="Theinhardt Black" w:cs="Theinhardt Black" w:eastAsia="Theinhardt Black"/>
          <w:b/>
          <w:bCs/>
          <w:sz w:val="2"/>
          <w:szCs w:val="2"/>
        </w:rPr>
      </w:pPr>
    </w:p>
    <w:p>
      <w:pPr>
        <w:tabs>
          <w:tab w:pos="3453" w:val="left" w:leader="none"/>
        </w:tabs>
        <w:spacing w:line="20" w:lineRule="atLeast"/>
        <w:ind w:left="117" w:right="0" w:firstLine="0"/>
        <w:rPr>
          <w:rFonts w:ascii="Theinhardt Black" w:hAnsi="Theinhardt Black" w:cs="Theinhardt Black" w:eastAsia="Theinhardt Black"/>
          <w:sz w:val="2"/>
          <w:szCs w:val="2"/>
        </w:rPr>
      </w:pPr>
      <w:r>
        <w:rPr>
          <w:rFonts w:ascii="Theinhardt Black"/>
          <w:sz w:val="2"/>
        </w:rPr>
        <w:pict>
          <v:group style="width:.45pt;height:.45pt;mso-position-horizontal-relative:char;mso-position-vertical-relative:line" coordorigin="0,0" coordsize="9,9"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lack"/>
          <w:sz w:val="2"/>
        </w:rPr>
      </w:r>
      <w:r>
        <w:rPr>
          <w:rFonts w:ascii="Theinhardt Black"/>
          <w:sz w:val="2"/>
        </w:rPr>
        <w:tab/>
      </w:r>
      <w:r>
        <w:rPr>
          <w:rFonts w:ascii="Theinhardt Black"/>
          <w:sz w:val="2"/>
        </w:rPr>
        <w:pict>
          <v:group style="width:.45pt;height:.45pt;mso-position-horizontal-relative:char;mso-position-vertical-relative:line" coordorigin="0,0" coordsize="9,9"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lack"/>
          <w:sz w:val="2"/>
        </w:rPr>
      </w:r>
    </w:p>
    <w:p>
      <w:pPr>
        <w:spacing w:line="160" w:lineRule="exact" w:before="74"/>
        <w:ind w:left="117" w:right="1397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pacing w:val="1"/>
          <w:sz w:val="14"/>
        </w:rPr>
        <w:t>Bauherrschaft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und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2"/>
          <w:sz w:val="14"/>
        </w:rPr>
        <w:t>Standort</w:t>
      </w:r>
      <w:r>
        <w:rPr>
          <w:rFonts w:ascii="Theinhardt Bold" w:hAnsi="Theinhardt Bold"/>
          <w:b/>
          <w:color w:val="231F20"/>
          <w:spacing w:val="26"/>
          <w:sz w:val="14"/>
        </w:rPr>
        <w:t> </w:t>
      </w:r>
      <w:r>
        <w:rPr>
          <w:rFonts w:ascii="Theinhardt Regular" w:hAnsi="Theinhardt Regular"/>
          <w:color w:val="231F20"/>
          <w:sz w:val="14"/>
        </w:rPr>
        <w:t>Joao Miguel Torres und A. Nova</w:t>
      </w:r>
      <w:r>
        <w:rPr>
          <w:rFonts w:ascii="Theinhardt Regular" w:hAnsi="Theinhardt Regular"/>
          <w:color w:val="231F20"/>
          <w:spacing w:val="22"/>
          <w:sz w:val="14"/>
        </w:rPr>
        <w:t> </w:t>
      </w:r>
      <w:r>
        <w:rPr>
          <w:rFonts w:ascii="Theinhardt Regular" w:hAnsi="Theinhardt Regular"/>
          <w:color w:val="231F20"/>
          <w:sz w:val="14"/>
        </w:rPr>
        <w:t>Göblistrasse 29b, 6300 Zug</w:t>
      </w:r>
      <w:r>
        <w:rPr>
          <w:rFonts w:ascii="Theinhardt Regular" w:hAnsi="Theinhardt Regular"/>
          <w:sz w:val="14"/>
        </w:rPr>
      </w:r>
    </w:p>
    <w:p>
      <w:pPr>
        <w:spacing w:line="177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hyperlink r:id="rId6">
        <w:r>
          <w:rPr>
            <w:rFonts w:ascii="Theinhardt Regular"/>
            <w:color w:val="231F20"/>
            <w:sz w:val="14"/>
          </w:rPr>
          <w:t>Tel. 079 231 23 41, torres@deep.ch</w:t>
        </w:r>
        <w:r>
          <w:rPr>
            <w:rFonts w:ascii="Theinhardt Regular"/>
            <w:sz w:val="14"/>
          </w:rPr>
        </w:r>
      </w:hyperlink>
    </w:p>
    <w:p>
      <w:pPr>
        <w:spacing w:line="172" w:lineRule="exact" w:before="32"/>
        <w:ind w:left="117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2"/>
          <w:sz w:val="14"/>
        </w:rPr>
        <w:t>Architektur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und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Baukunst</w:t>
      </w:r>
      <w:r>
        <w:rPr>
          <w:rFonts w:ascii="Theinhardt Bold"/>
          <w:sz w:val="14"/>
        </w:rPr>
      </w:r>
    </w:p>
    <w:p>
      <w:pPr>
        <w:spacing w:line="160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Philipp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Burri</w:t>
      </w:r>
      <w:r>
        <w:rPr>
          <w:rFonts w:ascii="Theinhardt Regular"/>
          <w:sz w:val="14"/>
        </w:rPr>
      </w:r>
    </w:p>
    <w:p>
      <w:pPr>
        <w:spacing w:line="160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Heckenweg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5"/>
          <w:sz w:val="14"/>
        </w:rPr>
        <w:t>57,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3007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Bern</w:t>
      </w:r>
      <w:r>
        <w:rPr>
          <w:rFonts w:ascii="Theinhardt Regular"/>
          <w:sz w:val="14"/>
        </w:rPr>
      </w:r>
    </w:p>
    <w:p>
      <w:pPr>
        <w:spacing w:line="172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079 924 54 97,</w:t>
      </w:r>
      <w:r>
        <w:rPr>
          <w:rFonts w:ascii="Theinhardt Regular"/>
          <w:color w:val="231F20"/>
          <w:spacing w:val="-9"/>
          <w:sz w:val="14"/>
        </w:rPr>
        <w:t> </w:t>
      </w:r>
      <w:hyperlink r:id="rId7">
        <w:r>
          <w:rPr>
            <w:rFonts w:ascii="Theinhardt Regular"/>
            <w:color w:val="231F20"/>
            <w:spacing w:val="-1"/>
            <w:sz w:val="14"/>
          </w:rPr>
          <w:t>www.philippburri.com</w:t>
        </w:r>
        <w:r>
          <w:rPr>
            <w:rFonts w:ascii="Theinhardt Regular"/>
            <w:sz w:val="14"/>
          </w:rPr>
        </w:r>
      </w:hyperlink>
    </w:p>
    <w:p>
      <w:pPr>
        <w:spacing w:line="160" w:lineRule="exact" w:before="39"/>
        <w:ind w:left="117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Architektur,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Planung,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Energieberechnungen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und</w:t>
      </w:r>
      <w:r>
        <w:rPr>
          <w:rFonts w:ascii="Theinhardt Bold"/>
          <w:b/>
          <w:color w:val="231F20"/>
          <w:spacing w:val="54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Realisation:</w:t>
      </w:r>
      <w:r>
        <w:rPr>
          <w:rFonts w:ascii="Theinhardt Bold"/>
          <w:sz w:val="14"/>
        </w:rPr>
      </w:r>
    </w:p>
    <w:p>
      <w:pPr>
        <w:spacing w:line="160" w:lineRule="exact" w:before="0"/>
        <w:ind w:left="117" w:right="1902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Joao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M.</w:t>
      </w:r>
      <w:r>
        <w:rPr>
          <w:rFonts w:ascii="Theinhardt Regular"/>
          <w:color w:val="231F20"/>
          <w:sz w:val="14"/>
        </w:rPr>
        <w:t> Torres </w:t>
      </w:r>
      <w:r>
        <w:rPr>
          <w:rFonts w:ascii="Theinhardt Regular"/>
          <w:color w:val="231F20"/>
          <w:spacing w:val="1"/>
          <w:sz w:val="14"/>
        </w:rPr>
        <w:t>Nova</w:t>
      </w:r>
      <w:r>
        <w:rPr>
          <w:rFonts w:ascii="Theinhardt Regular"/>
          <w:color w:val="231F20"/>
          <w:spacing w:val="27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NOVA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One</w:t>
      </w:r>
      <w:r>
        <w:rPr>
          <w:rFonts w:ascii="Theinhardt Regular"/>
          <w:color w:val="231F20"/>
          <w:sz w:val="14"/>
        </w:rPr>
        <w:t> AG, </w:t>
      </w:r>
      <w:r>
        <w:rPr>
          <w:rFonts w:ascii="Theinhardt Regular"/>
          <w:color w:val="231F20"/>
          <w:spacing w:val="1"/>
          <w:sz w:val="14"/>
        </w:rPr>
        <w:t>6300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Zug</w:t>
      </w:r>
      <w:r>
        <w:rPr>
          <w:rFonts w:ascii="Theinhardt Regular"/>
          <w:sz w:val="14"/>
        </w:rPr>
      </w:r>
    </w:p>
    <w:p>
      <w:pPr>
        <w:spacing w:line="172" w:lineRule="exact" w:before="49"/>
        <w:ind w:left="117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Installation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2"/>
          <w:sz w:val="14"/>
        </w:rPr>
        <w:t>PV-Anlage</w:t>
      </w:r>
      <w:r>
        <w:rPr>
          <w:rFonts w:ascii="Theinhardt Bold"/>
          <w:sz w:val="14"/>
        </w:rPr>
      </w:r>
    </w:p>
    <w:p>
      <w:pPr>
        <w:spacing w:line="207" w:lineRule="auto" w:before="5"/>
        <w:ind w:left="117" w:right="393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2"/>
          <w:sz w:val="14"/>
        </w:rPr>
        <w:t>Solartechnik</w:t>
      </w:r>
      <w:r>
        <w:rPr>
          <w:rFonts w:ascii="Theinhardt Regular"/>
          <w:color w:val="231F20"/>
          <w:sz w:val="14"/>
        </w:rPr>
        <w:t> &amp; </w:t>
      </w:r>
      <w:r>
        <w:rPr>
          <w:rFonts w:ascii="Theinhardt Regular"/>
          <w:color w:val="231F20"/>
          <w:spacing w:val="1"/>
          <w:sz w:val="14"/>
        </w:rPr>
        <w:t>Energieoptimierung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Pretscher</w:t>
      </w:r>
      <w:r>
        <w:rPr>
          <w:rFonts w:ascii="Theinhardt Regular"/>
          <w:color w:val="231F20"/>
          <w:spacing w:val="38"/>
          <w:sz w:val="14"/>
        </w:rPr>
        <w:t> </w:t>
      </w:r>
      <w:r>
        <w:rPr>
          <w:rFonts w:ascii="Theinhardt Regular"/>
          <w:color w:val="231F20"/>
          <w:sz w:val="14"/>
        </w:rPr>
        <w:t>8873 </w:t>
      </w:r>
      <w:r>
        <w:rPr>
          <w:rFonts w:ascii="Theinhardt Regular"/>
          <w:color w:val="231F20"/>
          <w:spacing w:val="2"/>
          <w:sz w:val="14"/>
        </w:rPr>
        <w:t>Amden</w:t>
      </w:r>
      <w:r>
        <w:rPr>
          <w:rFonts w:ascii="Theinhardt Regular"/>
          <w:sz w:val="14"/>
        </w:rPr>
      </w:r>
    </w:p>
    <w:p>
      <w:pPr>
        <w:spacing w:line="154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043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557</w:t>
      </w:r>
      <w:r>
        <w:rPr>
          <w:rFonts w:ascii="Theinhardt Regular"/>
          <w:color w:val="231F20"/>
          <w:sz w:val="14"/>
        </w:rPr>
        <w:t> 35 53</w:t>
      </w:r>
      <w:r>
        <w:rPr>
          <w:rFonts w:ascii="Theinhardt Regular"/>
          <w:sz w:val="14"/>
        </w:rPr>
      </w:r>
    </w:p>
    <w:p>
      <w:pPr>
        <w:spacing w:line="172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hyperlink r:id="rId8">
        <w:r>
          <w:rPr>
            <w:rFonts w:ascii="Theinhardt Regular"/>
            <w:color w:val="231F20"/>
            <w:spacing w:val="1"/>
            <w:sz w:val="14"/>
          </w:rPr>
          <w:t>info@solar-energieoptimierung.ch</w:t>
        </w:r>
        <w:r>
          <w:rPr>
            <w:rFonts w:ascii="Theinhardt Regular"/>
            <w:sz w:val="14"/>
          </w:rPr>
        </w:r>
      </w:hyperlink>
    </w:p>
    <w:p>
      <w:pPr>
        <w:spacing w:line="172" w:lineRule="exact" w:before="32"/>
        <w:ind w:left="117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Heizungstechnik</w:t>
      </w:r>
      <w:r>
        <w:rPr>
          <w:rFonts w:ascii="Theinhardt Bold"/>
          <w:sz w:val="14"/>
        </w:rPr>
      </w:r>
    </w:p>
    <w:p>
      <w:pPr>
        <w:spacing w:line="207" w:lineRule="auto" w:before="5"/>
        <w:ind w:left="117" w:right="998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Zimmerli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Apparatebau</w:t>
      </w:r>
      <w:r>
        <w:rPr>
          <w:rFonts w:ascii="Theinhardt Regular"/>
          <w:color w:val="231F20"/>
          <w:sz w:val="14"/>
        </w:rPr>
        <w:t> AG</w:t>
      </w:r>
      <w:r>
        <w:rPr>
          <w:rFonts w:ascii="Theinhardt Regular"/>
          <w:color w:val="231F20"/>
          <w:spacing w:val="25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Striegelstrasse</w:t>
      </w:r>
      <w:r>
        <w:rPr>
          <w:rFonts w:ascii="Theinhardt Regular"/>
          <w:color w:val="231F20"/>
          <w:sz w:val="14"/>
        </w:rPr>
        <w:t> 8, </w:t>
      </w:r>
      <w:r>
        <w:rPr>
          <w:rFonts w:ascii="Theinhardt Regular"/>
          <w:color w:val="231F20"/>
          <w:spacing w:val="-3"/>
          <w:sz w:val="14"/>
        </w:rPr>
        <w:t>5745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Safenwil</w:t>
      </w:r>
      <w:r>
        <w:rPr>
          <w:rFonts w:ascii="Theinhardt Regular"/>
          <w:sz w:val="14"/>
        </w:rPr>
      </w:r>
    </w:p>
    <w:p>
      <w:pPr>
        <w:spacing w:line="167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/>
        <w:pict>
          <v:group style="position:absolute;margin-left:394.015808pt;margin-top:10.130404pt;width:167.25pt;height:.45pt;mso-position-horizontal-relative:page;mso-position-vertical-relative:paragraph;z-index:1096" coordorigin="7880,203" coordsize="3345,9">
            <v:group style="position:absolute;left:7902;top:207;width:3311;height:2" coordorigin="7902,207" coordsize="3311,2">
              <v:shape style="position:absolute;left:7902;top:207;width:3311;height:2" coordorigin="7902,207" coordsize="3311,0" path="m7902,207l11212,207e" filled="false" stroked="true" strokeweight=".425pt" strokecolor="#231f20">
                <v:path arrowok="t"/>
                <v:stroke dashstyle="dash"/>
              </v:shape>
            </v:group>
            <v:group style="position:absolute;left:7885;top:207;width:2;height:2" coordorigin="7885,207" coordsize="2,2">
              <v:shape style="position:absolute;left:7885;top:207;width:2;height:2" coordorigin="7885,207" coordsize="0,0" path="m7885,207l7885,207e" filled="false" stroked="true" strokeweight=".425pt" strokecolor="#231f20">
                <v:path arrowok="t"/>
              </v:shape>
            </v:group>
            <v:group style="position:absolute;left:11221;top:207;width:2;height:2" coordorigin="11221,207" coordsize="2,2">
              <v:shape style="position:absolute;left:11221;top:207;width:2;height:2" coordorigin="11221,207" coordsize="0,0" path="m11221,207l11221,207e" filled="false" stroked="true" strokeweight=".425pt" strokecolor="#231f20">
                <v:path arrowok="t"/>
              </v:shape>
            </v:group>
            <w10:wrap type="none"/>
          </v:group>
        </w:pict>
      </w: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062 </w:t>
      </w:r>
      <w:r>
        <w:rPr>
          <w:rFonts w:ascii="Theinhardt Regular"/>
          <w:color w:val="231F20"/>
          <w:spacing w:val="-1"/>
          <w:sz w:val="14"/>
        </w:rPr>
        <w:t>723</w:t>
      </w:r>
      <w:r>
        <w:rPr>
          <w:rFonts w:ascii="Theinhardt Regular"/>
          <w:color w:val="231F20"/>
          <w:sz w:val="14"/>
        </w:rPr>
        <w:t> 99 77</w:t>
      </w:r>
      <w:r>
        <w:rPr>
          <w:rFonts w:ascii="Theinhardt Regular"/>
          <w:sz w:val="14"/>
        </w:rPr>
      </w:r>
    </w:p>
    <w:p>
      <w:pPr>
        <w:spacing w:after="0" w:line="167" w:lineRule="exact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2250" w:h="17180"/>
          <w:pgMar w:top="1000" w:bottom="280" w:left="620" w:right="900"/>
          <w:cols w:num="3" w:equalWidth="0">
            <w:col w:w="3473" w:space="99"/>
            <w:col w:w="3463" w:space="109"/>
            <w:col w:w="3586"/>
          </w:cols>
        </w:sect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11"/>
        <w:rPr>
          <w:rFonts w:ascii="Theinhardt Regular" w:hAnsi="Theinhardt Regular" w:cs="Theinhardt Regular" w:eastAsia="Theinhardt Regular"/>
          <w:sz w:val="24"/>
          <w:szCs w:val="24"/>
        </w:rPr>
      </w:pPr>
    </w:p>
    <w:p>
      <w:pPr>
        <w:spacing w:before="7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Heavy"/>
          <w:b/>
          <w:color w:val="231F20"/>
          <w:sz w:val="14"/>
        </w:rPr>
        <w:t>70    </w:t>
      </w:r>
      <w:r>
        <w:rPr>
          <w:rFonts w:ascii="Theinhardt Heavy"/>
          <w:b/>
          <w:color w:val="231F20"/>
          <w:spacing w:val="7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> 2018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> 2018</w:t>
      </w:r>
      <w:r>
        <w:rPr>
          <w:rFonts w:ascii="Theinhardt Regular"/>
          <w:sz w:val="14"/>
        </w:rPr>
      </w:r>
    </w:p>
    <w:p>
      <w:pPr>
        <w:spacing w:after="0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2250" w:h="17180"/>
          <w:pgMar w:top="1000" w:bottom="280" w:left="620" w:right="900"/>
        </w:sectPr>
      </w:pPr>
    </w:p>
    <w:p>
      <w:pPr>
        <w:spacing w:line="240" w:lineRule="auto" w:before="3"/>
        <w:rPr>
          <w:rFonts w:ascii="Theinhardt Regular" w:hAnsi="Theinhardt Regular" w:cs="Theinhardt Regular" w:eastAsia="Theinhardt Regular"/>
          <w:sz w:val="6"/>
          <w:szCs w:val="6"/>
        </w:rPr>
      </w:pPr>
    </w:p>
    <w:p>
      <w:pPr>
        <w:spacing w:line="200" w:lineRule="atLeast"/>
        <w:ind w:left="123" w:right="0" w:firstLine="0"/>
        <w:rPr>
          <w:rFonts w:ascii="Theinhardt Regular" w:hAnsi="Theinhardt Regular" w:cs="Theinhardt Regular" w:eastAsia="Theinhardt Regular"/>
          <w:sz w:val="20"/>
          <w:szCs w:val="20"/>
        </w:rPr>
      </w:pPr>
      <w:r>
        <w:rPr>
          <w:rFonts w:ascii="Theinhardt Regular" w:hAnsi="Theinhardt Regular" w:cs="Theinhardt Regular" w:eastAsia="Theinhardt Regular"/>
          <w:sz w:val="20"/>
          <w:szCs w:val="20"/>
        </w:rPr>
        <w:drawing>
          <wp:inline distT="0" distB="0" distL="0" distR="0">
            <wp:extent cx="6659106" cy="4797552"/>
            <wp:effectExtent l="0" t="0" r="0" b="0"/>
            <wp:docPr id="1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106" cy="4797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Regular" w:hAnsi="Theinhardt Regular" w:cs="Theinhardt Regular" w:eastAsia="Theinhardt Regular"/>
          <w:sz w:val="20"/>
          <w:szCs w:val="20"/>
        </w:rPr>
      </w:r>
    </w:p>
    <w:p>
      <w:pPr>
        <w:spacing w:before="15"/>
        <w:ind w:left="118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/>
        <w:pict>
          <v:shape style="position:absolute;margin-left:229.615997pt;margin-top:11.264886pt;width:345.807pt;height:265.748pt;mso-position-horizontal-relative:page;mso-position-vertical-relative:paragraph;z-index:1240" type="#_x0000_t75" stroked="false">
            <v:imagedata r:id="rId10" o:title=""/>
          </v:shape>
        </w:pict>
      </w:r>
      <w:r>
        <w:rPr>
          <w:rFonts w:ascii="Theinhardt Bold"/>
          <w:b/>
          <w:color w:val="231F20"/>
          <w:sz w:val="14"/>
        </w:rPr>
        <w:t>1</w:t>
      </w:r>
      <w:r>
        <w:rPr>
          <w:rFonts w:ascii="Theinhardt Bold"/>
          <w:sz w:val="14"/>
        </w:rPr>
      </w:r>
    </w:p>
    <w:p>
      <w:pPr>
        <w:spacing w:line="200" w:lineRule="atLeast"/>
        <w:ind w:left="120" w:right="0" w:firstLine="0"/>
        <w:rPr>
          <w:rFonts w:ascii="Theinhardt Bold" w:hAnsi="Theinhardt Bold" w:cs="Theinhardt Bold" w:eastAsia="Theinhardt Bold"/>
          <w:sz w:val="20"/>
          <w:szCs w:val="20"/>
        </w:rPr>
      </w:pPr>
      <w:r>
        <w:rPr>
          <w:rFonts w:ascii="Theinhardt Bold" w:hAnsi="Theinhardt Bold" w:cs="Theinhardt Bold" w:eastAsia="Theinhardt Bold"/>
          <w:sz w:val="20"/>
          <w:szCs w:val="20"/>
        </w:rPr>
        <w:drawing>
          <wp:inline distT="0" distB="0" distL="0" distR="0">
            <wp:extent cx="2121805" cy="1609344"/>
            <wp:effectExtent l="0" t="0" r="0" b="0"/>
            <wp:docPr id="3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1805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Bold" w:hAnsi="Theinhardt Bold" w:cs="Theinhardt Bold" w:eastAsia="Theinhardt Bold"/>
          <w:sz w:val="20"/>
          <w:szCs w:val="20"/>
        </w:rPr>
      </w:r>
    </w:p>
    <w:p>
      <w:pPr>
        <w:spacing w:before="44"/>
        <w:ind w:left="118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2</w:t>
      </w:r>
      <w:r>
        <w:rPr>
          <w:rFonts w:ascii="Theinhardt Bold"/>
          <w:sz w:val="14"/>
        </w:rPr>
      </w: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"/>
          <w:szCs w:val="2"/>
        </w:rPr>
      </w:pPr>
    </w:p>
    <w:p>
      <w:pPr>
        <w:spacing w:line="200" w:lineRule="atLeast"/>
        <w:ind w:left="120" w:right="0" w:firstLine="0"/>
        <w:rPr>
          <w:rFonts w:ascii="Theinhardt Bold" w:hAnsi="Theinhardt Bold" w:cs="Theinhardt Bold" w:eastAsia="Theinhardt Bold"/>
          <w:sz w:val="20"/>
          <w:szCs w:val="20"/>
        </w:rPr>
      </w:pPr>
      <w:r>
        <w:rPr>
          <w:rFonts w:ascii="Theinhardt Bold" w:hAnsi="Theinhardt Bold" w:cs="Theinhardt Bold" w:eastAsia="Theinhardt Bold"/>
          <w:sz w:val="20"/>
          <w:szCs w:val="20"/>
        </w:rPr>
        <w:drawing>
          <wp:inline distT="0" distB="0" distL="0" distR="0">
            <wp:extent cx="2126013" cy="1621536"/>
            <wp:effectExtent l="0" t="0" r="0" b="0"/>
            <wp:docPr id="5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6013" cy="162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Bold" w:hAnsi="Theinhardt Bold" w:cs="Theinhardt Bold" w:eastAsia="Theinhardt Bold"/>
          <w:sz w:val="20"/>
          <w:szCs w:val="20"/>
        </w:rPr>
      </w:r>
    </w:p>
    <w:p>
      <w:pPr>
        <w:tabs>
          <w:tab w:pos="3690" w:val="left" w:leader="none"/>
        </w:tabs>
        <w:spacing w:before="13"/>
        <w:ind w:left="118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3</w:t>
        <w:tab/>
        <w:t>4</w:t>
      </w:r>
      <w:r>
        <w:rPr>
          <w:rFonts w:ascii="Theinhardt Bold"/>
          <w:sz w:val="14"/>
        </w:rPr>
      </w: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4"/>
        <w:rPr>
          <w:rFonts w:ascii="Theinhardt Bold" w:hAnsi="Theinhardt Bold" w:cs="Theinhardt Bold" w:eastAsia="Theinhardt Bold"/>
          <w:b/>
          <w:bCs/>
          <w:sz w:val="24"/>
          <w:szCs w:val="24"/>
        </w:rPr>
      </w:pPr>
    </w:p>
    <w:p>
      <w:pPr>
        <w:spacing w:after="0" w:line="240" w:lineRule="auto"/>
        <w:rPr>
          <w:rFonts w:ascii="Theinhardt Bold" w:hAnsi="Theinhardt Bold" w:cs="Theinhardt Bold" w:eastAsia="Theinhardt Bold"/>
          <w:sz w:val="24"/>
          <w:szCs w:val="24"/>
        </w:rPr>
        <w:sectPr>
          <w:pgSz w:w="12250" w:h="17180"/>
          <w:pgMar w:top="1020" w:bottom="280" w:left="900" w:right="620"/>
        </w:sectPr>
      </w:pPr>
    </w:p>
    <w:p>
      <w:pPr>
        <w:numPr>
          <w:ilvl w:val="0"/>
          <w:numId w:val="1"/>
        </w:numPr>
        <w:tabs>
          <w:tab w:pos="348" w:val="left" w:leader="none"/>
        </w:tabs>
        <w:spacing w:line="160" w:lineRule="exact" w:before="76"/>
        <w:ind w:left="347" w:right="140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Die 5.0 kW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starke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PV-Anlage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erzeugt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jährlich</w:t>
      </w:r>
      <w:r>
        <w:rPr>
          <w:rFonts w:ascii="Theinhardt Bold" w:hAnsi="Theinhardt Bold" w:cs="Theinhardt Bold" w:eastAsia="Theinhardt Bold"/>
          <w:b/>
          <w:bCs/>
          <w:color w:val="231F20"/>
          <w:spacing w:val="3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rund</w:t>
      </w:r>
      <w:r>
        <w:rPr>
          <w:rFonts w:ascii="Theinhardt Bold" w:hAnsi="Theinhardt Bold" w:cs="Theinhardt Bold" w:eastAsia="Theinhardt Bold"/>
          <w:b/>
          <w:bCs/>
          <w:color w:val="231F20"/>
          <w:spacing w:val="35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5’850 kWh.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numPr>
          <w:ilvl w:val="0"/>
          <w:numId w:val="1"/>
        </w:numPr>
        <w:tabs>
          <w:tab w:pos="348" w:val="left" w:leader="none"/>
        </w:tabs>
        <w:spacing w:line="160" w:lineRule="exact" w:before="0"/>
        <w:ind w:left="347" w:right="0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t>Die 1935 erstellte,</w:t>
      </w:r>
      <w:r>
        <w:rPr>
          <w:rFonts w:ascii="Theinhardt Bold" w:hAnsi="Theinhardt Bold"/>
          <w:b/>
          <w:color w:val="231F20"/>
          <w:spacing w:val="-6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denkmalgeschützte </w:t>
      </w:r>
      <w:r>
        <w:rPr>
          <w:rFonts w:ascii="Theinhardt Bold" w:hAnsi="Theinhardt Bold"/>
          <w:b/>
          <w:color w:val="231F20"/>
          <w:spacing w:val="-1"/>
          <w:sz w:val="14"/>
        </w:rPr>
        <w:t>Reihen-</w:t>
      </w:r>
      <w:r>
        <w:rPr>
          <w:rFonts w:ascii="Theinhardt Bold" w:hAnsi="Theinhardt Bold"/>
          <w:b/>
          <w:color w:val="231F20"/>
          <w:spacing w:val="22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einfamilienhaus-Siedlung</w:t>
      </w:r>
      <w:r>
        <w:rPr>
          <w:rFonts w:ascii="Theinhardt Bold" w:hAnsi="Theinhardt Bold"/>
          <w:b/>
          <w:color w:val="231F20"/>
          <w:sz w:val="14"/>
        </w:rPr>
        <w:t> vor </w:t>
      </w:r>
      <w:r>
        <w:rPr>
          <w:rFonts w:ascii="Theinhardt Bold" w:hAnsi="Theinhardt Bold"/>
          <w:b/>
          <w:color w:val="231F20"/>
          <w:spacing w:val="-1"/>
          <w:sz w:val="14"/>
        </w:rPr>
        <w:t>der</w:t>
      </w:r>
      <w:r>
        <w:rPr>
          <w:rFonts w:ascii="Theinhardt Bold" w:hAnsi="Theinhardt Bold"/>
          <w:b/>
          <w:color w:val="231F20"/>
          <w:sz w:val="14"/>
        </w:rPr>
        <w:t> Sanierung.</w:t>
      </w:r>
      <w:r>
        <w:rPr>
          <w:rFonts w:ascii="Theinhardt Bold" w:hAnsi="Theinhardt Bold"/>
          <w:sz w:val="14"/>
        </w:rPr>
      </w:r>
    </w:p>
    <w:p>
      <w:pPr>
        <w:numPr>
          <w:ilvl w:val="0"/>
          <w:numId w:val="1"/>
        </w:numPr>
        <w:tabs>
          <w:tab w:pos="348" w:val="left" w:leader="none"/>
        </w:tabs>
        <w:spacing w:line="160" w:lineRule="exact" w:before="76"/>
        <w:ind w:left="347" w:right="0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br w:type="column"/>
        <w:t>Die </w:t>
      </w:r>
      <w:r>
        <w:rPr>
          <w:rFonts w:ascii="Theinhardt Bold" w:hAnsi="Theinhardt Bold"/>
          <w:b/>
          <w:color w:val="231F20"/>
          <w:spacing w:val="-1"/>
          <w:sz w:val="14"/>
        </w:rPr>
        <w:t>feinfühlige</w:t>
      </w:r>
      <w:r>
        <w:rPr>
          <w:rFonts w:ascii="Theinhardt Bold" w:hAnsi="Theinhardt Bold"/>
          <w:b/>
          <w:color w:val="231F20"/>
          <w:sz w:val="14"/>
        </w:rPr>
        <w:t> Anpassung an </w:t>
      </w:r>
      <w:r>
        <w:rPr>
          <w:rFonts w:ascii="Theinhardt Bold" w:hAnsi="Theinhardt Bold"/>
          <w:b/>
          <w:color w:val="231F20"/>
          <w:spacing w:val="-1"/>
          <w:sz w:val="14"/>
        </w:rPr>
        <w:t>die</w:t>
      </w:r>
      <w:r>
        <w:rPr>
          <w:rFonts w:ascii="Theinhardt Bold" w:hAnsi="Theinhardt Bold"/>
          <w:b/>
          <w:color w:val="231F20"/>
          <w:sz w:val="14"/>
        </w:rPr>
        <w:t> benachbarte</w:t>
      </w:r>
      <w:r>
        <w:rPr>
          <w:rFonts w:ascii="Theinhardt Bold" w:hAnsi="Theinhardt Bold"/>
          <w:b/>
          <w:color w:val="231F20"/>
          <w:spacing w:val="36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Bausubstanz bewahrt das Gesamtbild des</w:t>
      </w:r>
      <w:r>
        <w:rPr>
          <w:rFonts w:ascii="Theinhardt Bold" w:hAnsi="Theinhardt Bold"/>
          <w:b/>
          <w:color w:val="231F20"/>
          <w:spacing w:val="26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Reihenhauses.</w:t>
      </w:r>
      <w:r>
        <w:rPr>
          <w:rFonts w:ascii="Theinhardt Bold" w:hAnsi="Theinhardt Bold"/>
          <w:sz w:val="14"/>
        </w:rPr>
      </w:r>
    </w:p>
    <w:p>
      <w:pPr>
        <w:numPr>
          <w:ilvl w:val="0"/>
          <w:numId w:val="1"/>
        </w:numPr>
        <w:tabs>
          <w:tab w:pos="348" w:val="left" w:leader="none"/>
        </w:tabs>
        <w:spacing w:line="160" w:lineRule="exact" w:before="76"/>
        <w:ind w:left="347" w:right="276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br w:type="column"/>
        <w:t>Nach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umfassenden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Renovation sank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pacing w:val="3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Energiebedarf von 24’900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4"/>
          <w:szCs w:val="14"/>
        </w:rPr>
        <w:t>kWh/a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um mehr als</w:t>
      </w:r>
      <w:r>
        <w:rPr>
          <w:rFonts w:ascii="Theinhardt Bold" w:hAnsi="Theinhardt Bold" w:cs="Theinhardt Bold" w:eastAsia="Theinhardt Bold"/>
          <w:b/>
          <w:bCs/>
          <w:color w:val="231F20"/>
          <w:spacing w:val="3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Hälfte auf rund 10’200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kWh/a.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after="0" w:line="160" w:lineRule="exact"/>
        <w:jc w:val="left"/>
        <w:rPr>
          <w:rFonts w:ascii="Theinhardt Bold" w:hAnsi="Theinhardt Bold" w:cs="Theinhardt Bold" w:eastAsia="Theinhardt Bold"/>
          <w:sz w:val="14"/>
          <w:szCs w:val="14"/>
        </w:rPr>
        <w:sectPr>
          <w:type w:val="continuous"/>
          <w:pgSz w:w="12250" w:h="17180"/>
          <w:pgMar w:top="1000" w:bottom="280" w:left="900" w:right="620"/>
          <w:cols w:num="3" w:equalWidth="0">
            <w:col w:w="3360" w:space="212"/>
            <w:col w:w="3308" w:space="264"/>
            <w:col w:w="3586"/>
          </w:cols>
        </w:sectPr>
      </w:pPr>
    </w:p>
    <w:p>
      <w:pPr>
        <w:spacing w:line="240" w:lineRule="auto" w:before="6"/>
        <w:rPr>
          <w:rFonts w:ascii="Theinhardt Bold" w:hAnsi="Theinhardt Bold" w:cs="Theinhardt Bold" w:eastAsia="Theinhardt Bold"/>
          <w:b/>
          <w:bCs/>
          <w:sz w:val="23"/>
          <w:szCs w:val="23"/>
        </w:rPr>
      </w:pPr>
    </w:p>
    <w:p>
      <w:pPr>
        <w:spacing w:before="70"/>
        <w:ind w:left="6676" w:right="0" w:firstLine="0"/>
        <w:jc w:val="left"/>
        <w:rPr>
          <w:rFonts w:ascii="Theinhardt Heavy" w:hAnsi="Theinhardt Heavy" w:cs="Theinhardt Heavy" w:eastAsia="Theinhardt Heavy"/>
          <w:sz w:val="14"/>
          <w:szCs w:val="14"/>
        </w:rPr>
      </w:pP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> 2018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> 2018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Heavy"/>
          <w:b/>
          <w:color w:val="231F20"/>
          <w:sz w:val="14"/>
        </w:rPr>
        <w:t>71</w:t>
      </w:r>
      <w:r>
        <w:rPr>
          <w:rFonts w:ascii="Theinhardt Heavy"/>
          <w:sz w:val="14"/>
        </w:rPr>
      </w:r>
    </w:p>
    <w:sectPr>
      <w:type w:val="continuous"/>
      <w:pgSz w:w="12250" w:h="17180"/>
      <w:pgMar w:top="1000" w:bottom="280" w:left="900" w:right="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heinhardt Regular Italic">
    <w:altName w:val="Theinhardt Regular Italic"/>
    <w:charset w:val="0"/>
    <w:family w:val="swiss"/>
    <w:pitch w:val="variable"/>
  </w:font>
  <w:font w:name="Theinhardt Heavy">
    <w:altName w:val="Theinhardt Heavy"/>
    <w:charset w:val="0"/>
    <w:family w:val="swiss"/>
    <w:pitch w:val="variable"/>
  </w:font>
  <w:font w:name="Theinhardt Regular">
    <w:altName w:val="Theinhardt Regular"/>
    <w:charset w:val="0"/>
    <w:family w:val="swiss"/>
    <w:pitch w:val="variable"/>
  </w:font>
  <w:font w:name="Theinhardt Bold">
    <w:altName w:val="Theinhardt Bold"/>
    <w:charset w:val="0"/>
    <w:family w:val="swiss"/>
    <w:pitch w:val="variable"/>
  </w:font>
  <w:font w:name="Theinhardt Black">
    <w:altName w:val="Theinhardt Black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"/>
      <w:lvlJc w:val="left"/>
      <w:pPr>
        <w:ind w:left="347" w:hanging="227"/>
        <w:jc w:val="left"/>
      </w:pPr>
      <w:rPr>
        <w:rFonts w:hint="default" w:ascii="Theinhardt Bold" w:hAnsi="Theinhardt Bold" w:eastAsia="Theinhardt Bold"/>
        <w:b/>
        <w:bCs/>
        <w:color w:val="231F20"/>
        <w:sz w:val="14"/>
        <w:szCs w:val="14"/>
      </w:rPr>
    </w:lvl>
    <w:lvl w:ilvl="1">
      <w:start w:val="1"/>
      <w:numFmt w:val="bullet"/>
      <w:lvlText w:val="•"/>
      <w:lvlJc w:val="left"/>
      <w:pPr>
        <w:ind w:left="648" w:hanging="2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49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250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552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853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154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455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756" w:hanging="22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17"/>
    </w:pPr>
    <w:rPr>
      <w:rFonts w:ascii="Theinhardt Regular Italic" w:hAnsi="Theinhardt Regular Italic" w:eastAsia="Theinhardt Regular Italic"/>
      <w:i/>
      <w:sz w:val="18"/>
      <w:szCs w:val="18"/>
    </w:rPr>
  </w:style>
  <w:style w:styleId="Heading1" w:type="paragraph">
    <w:name w:val="Heading 1"/>
    <w:basedOn w:val="Normal"/>
    <w:uiPriority w:val="1"/>
    <w:qFormat/>
    <w:pPr>
      <w:spacing w:before="9"/>
      <w:ind w:left="117"/>
      <w:outlineLvl w:val="1"/>
    </w:pPr>
    <w:rPr>
      <w:rFonts w:ascii="Theinhardt Regular" w:hAnsi="Theinhardt Regular" w:eastAsia="Theinhardt Regular"/>
      <w:sz w:val="18"/>
      <w:szCs w:val="1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mailto:torres@deep.ch" TargetMode="External"/><Relationship Id="rId7" Type="http://schemas.openxmlformats.org/officeDocument/2006/relationships/hyperlink" Target="http://www.philippburri.com/" TargetMode="External"/><Relationship Id="rId8" Type="http://schemas.openxmlformats.org/officeDocument/2006/relationships/hyperlink" Target="mailto:info@solar-energieoptimierung.ch" TargetMode="External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2018-10-02T10:08:14Z</dcterms:created>
  <dcterms:modified xsi:type="dcterms:W3CDTF">2018-10-02T10:08:14Z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2018-10-02T00:00:00Z</vt:filetime>
  </property>
  <property fmtid="{D5CDD505-2E9C-101B-9397-08002B2CF9AE}" pid="3" name="LastSaved">
    <vt:filetime>2018-10-02T00:00:00Z</vt:filetime>
  </property>
</Properties>
</file>