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9" w:val="left" w:leader="none"/>
        </w:tabs>
        <w:spacing w:line="242" w:lineRule="auto" w:before="35"/>
        <w:ind w:left="12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3.527172pt;width:.1pt;height:.1pt;mso-position-horizontal-relative:page;mso-position-vertical-relative:paragraph;z-index:-5272" coordorigin="1025,271" coordsize="2,2">
            <v:shape style="position:absolute;left:1025;top:271;width:2;height:2" coordorigin="1025,271" coordsize="0,0" path="m1025,271l1025,27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3.527172pt;width:.1pt;height:.1pt;mso-position-horizontal-relative:page;mso-position-vertical-relative:paragraph;z-index:1120" coordorigin="3468,271" coordsize="2,2">
            <v:shape style="position:absolute;left:3468;top:271;width:2;height:2" coordorigin="3468,271" coordsize="0,0" path="m3468,271l3468,27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527172pt;width:.1pt;height:.1pt;mso-position-horizontal-relative:page;mso-position-vertical-relative:paragraph;z-index:-5224" coordorigin="1025,511" coordsize="2,2">
            <v:shape style="position:absolute;left:1025;top:511;width:2;height:2" coordorigin="1025,511" coordsize="0,0" path="m1025,511l1025,51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527172pt;width:.1pt;height:.1pt;mso-position-horizontal-relative:page;mso-position-vertical-relative:paragraph;z-index:1168" coordorigin="3468,511" coordsize="2,2">
            <v:shape style="position:absolute;left:3468;top:511;width:2;height:2" coordorigin="3468,511" coordsize="0,0" path="m3468,511l3468,511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Black" w:hAnsi="Theinhardt Black"/>
          <w:b/>
          <w:color w:val="231F20"/>
          <w:spacing w:val="4"/>
          <w:w w:val="95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Sanierungen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35"/>
        <w:ind w:left="120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1964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kantonalen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Bauinventar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BILU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erfasste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Keller</w:t>
      </w:r>
      <w:r>
        <w:rPr>
          <w:rFonts w:ascii="Theinhardt Bold" w:hAnsi="Theinhardt Bold" w:cs="Theinhardt Bold" w:eastAsia="Theinhardt Bold"/>
          <w:b/>
          <w:bCs/>
          <w:color w:val="231F20"/>
          <w:spacing w:val="7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Ammann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Dreilindenstrasse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Luzern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2017/2018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Gesamtenergiebe-</w:t>
      </w:r>
      <w:r>
        <w:rPr>
          <w:rFonts w:ascii="Theinhardt Bold" w:hAnsi="Theinhardt Bold" w:cs="Theinhardt Bold" w:eastAsia="Theinhardt Bold"/>
          <w:b/>
          <w:bCs/>
          <w:color w:val="231F20"/>
          <w:spacing w:val="9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darf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81’000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Viertel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20’510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15.1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Warmwasseraufbereitung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Hei-</w:t>
      </w:r>
      <w:r>
        <w:rPr>
          <w:rFonts w:ascii="Theinhardt Bold" w:hAnsi="Theinhardt Bold" w:cs="Theinhardt Bold" w:eastAsia="Theinhardt Bold"/>
          <w:b/>
          <w:bCs/>
          <w:color w:val="231F20"/>
          <w:spacing w:val="9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zungsunterstützung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dient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6.9m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Winter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gas-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Brennstoffzellenheizung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Wärmeversorgung.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sorgfältige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Integration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color w:val="231F20"/>
          <w:spacing w:val="9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architektonisch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überzeugend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gelöst.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20" w:bottom="280" w:left="900" w:right="620"/>
          <w:cols w:num="2" w:equalWidth="0">
            <w:col w:w="2560" w:space="119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before="5"/>
        <w:ind w:left="12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2"/>
          <w:sz w:val="40"/>
        </w:rPr>
        <w:t>EFH</w:t>
      </w:r>
      <w:r>
        <w:rPr>
          <w:rFonts w:ascii="Theinhardt Black"/>
          <w:b/>
          <w:color w:val="0067B1"/>
          <w:sz w:val="40"/>
        </w:rPr>
        <w:t> Keller </w:t>
      </w:r>
      <w:r>
        <w:rPr>
          <w:rFonts w:ascii="Theinhardt Black"/>
          <w:b/>
          <w:color w:val="0067B1"/>
          <w:spacing w:val="4"/>
          <w:sz w:val="40"/>
        </w:rPr>
        <w:t>Ammann,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6006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Luzern/LU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20" w:bottom="280" w:left="900" w:right="62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color w:val="231F20"/>
          <w:spacing w:val="-4"/>
        </w:rPr>
        <w:t>Vor</w:t>
      </w:r>
      <w:r>
        <w:rPr>
          <w:color w:val="231F20"/>
          <w:spacing w:val="-10"/>
        </w:rPr>
        <w:t> </w:t>
      </w:r>
      <w:r>
        <w:rPr>
          <w:color w:val="231F20"/>
        </w:rPr>
        <w:t>der</w:t>
      </w:r>
      <w:r>
        <w:rPr>
          <w:color w:val="231F20"/>
          <w:spacing w:val="-10"/>
        </w:rPr>
        <w:t> </w:t>
      </w:r>
      <w:r>
        <w:rPr>
          <w:color w:val="231F20"/>
        </w:rPr>
        <w:t>Renovation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konsumierte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im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kan-</w:t>
      </w:r>
      <w:r>
        <w:rPr>
          <w:color w:val="231F20"/>
          <w:spacing w:val="27"/>
        </w:rPr>
        <w:t> </w:t>
      </w:r>
      <w:r>
        <w:rPr>
          <w:color w:val="231F20"/>
        </w:rPr>
        <w:t>tonalen</w:t>
      </w:r>
      <w:r>
        <w:rPr>
          <w:color w:val="231F20"/>
          <w:spacing w:val="8"/>
        </w:rPr>
        <w:t> </w:t>
      </w:r>
      <w:r>
        <w:rPr>
          <w:color w:val="231F20"/>
        </w:rPr>
        <w:t>Bauinventar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BILU</w:t>
      </w:r>
      <w:r>
        <w:rPr>
          <w:color w:val="231F20"/>
          <w:spacing w:val="8"/>
        </w:rPr>
        <w:t> </w:t>
      </w:r>
      <w:r>
        <w:rPr>
          <w:color w:val="231F20"/>
        </w:rPr>
        <w:t>als</w:t>
      </w:r>
      <w:r>
        <w:rPr>
          <w:color w:val="231F20"/>
          <w:spacing w:val="8"/>
        </w:rPr>
        <w:t> </w:t>
      </w:r>
      <w:r>
        <w:rPr>
          <w:color w:val="231F20"/>
        </w:rPr>
        <w:t>erhaltenswert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eingetragene</w:t>
      </w:r>
      <w:r>
        <w:rPr>
          <w:color w:val="231F20"/>
          <w:spacing w:val="18"/>
        </w:rPr>
        <w:t> </w:t>
      </w:r>
      <w:r>
        <w:rPr>
          <w:color w:val="231F20"/>
        </w:rPr>
        <w:t>Einfamilienhaus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18"/>
        </w:rPr>
        <w:t> </w:t>
      </w:r>
      <w:r>
        <w:rPr>
          <w:color w:val="231F20"/>
        </w:rPr>
        <w:t>Am-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mann</w:t>
      </w:r>
      <w:r>
        <w:rPr>
          <w:color w:val="231F20"/>
          <w:spacing w:val="-4"/>
        </w:rPr>
        <w:t> </w:t>
      </w:r>
      <w:r>
        <w:rPr>
          <w:color w:val="231F20"/>
        </w:rPr>
        <w:t>rund</w:t>
      </w:r>
      <w:r>
        <w:rPr>
          <w:color w:val="231F20"/>
          <w:spacing w:val="-4"/>
        </w:rPr>
        <w:t> </w:t>
      </w:r>
      <w:r>
        <w:rPr>
          <w:color w:val="231F20"/>
        </w:rPr>
        <w:t>81’000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innenliegen-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Dämmung</w:t>
      </w:r>
      <w:r>
        <w:rPr>
          <w:color w:val="231F20"/>
          <w:spacing w:val="40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der</w:t>
      </w:r>
      <w:r>
        <w:rPr>
          <w:color w:val="231F20"/>
          <w:spacing w:val="40"/>
        </w:rPr>
        <w:t> </w:t>
      </w:r>
      <w:r>
        <w:rPr>
          <w:color w:val="231F20"/>
        </w:rPr>
        <w:t>Einsatz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sparsamer</w:t>
      </w:r>
      <w:r>
        <w:rPr>
          <w:color w:val="231F20"/>
          <w:spacing w:val="29"/>
        </w:rPr>
        <w:t> </w:t>
      </w:r>
      <w:r>
        <w:rPr>
          <w:color w:val="231F20"/>
        </w:rPr>
        <w:t>Beleuchtung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  <w:spacing w:val="46"/>
        </w:rPr>
        <w:t> </w:t>
      </w:r>
      <w:r>
        <w:rPr>
          <w:color w:val="231F20"/>
        </w:rPr>
        <w:t>Haushaltgeräte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reduzie-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ren</w:t>
      </w:r>
      <w:r>
        <w:rPr>
          <w:color w:val="231F20"/>
          <w:spacing w:val="27"/>
        </w:rPr>
        <w:t> </w:t>
      </w:r>
      <w:r>
        <w:rPr>
          <w:color w:val="231F20"/>
        </w:rPr>
        <w:t>den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7"/>
        </w:rPr>
        <w:t> </w:t>
      </w:r>
      <w:r>
        <w:rPr>
          <w:color w:val="231F20"/>
        </w:rPr>
        <w:t>auf</w:t>
      </w:r>
      <w:r>
        <w:rPr>
          <w:color w:val="231F20"/>
          <w:spacing w:val="28"/>
        </w:rPr>
        <w:t> </w:t>
      </w:r>
      <w:r>
        <w:rPr>
          <w:color w:val="231F20"/>
        </w:rPr>
        <w:t>20’510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Ziel</w:t>
      </w:r>
      <w:r>
        <w:rPr>
          <w:color w:val="231F20"/>
          <w:spacing w:val="-12"/>
        </w:rPr>
        <w:t> </w:t>
      </w:r>
      <w:r>
        <w:rPr>
          <w:color w:val="231F20"/>
        </w:rPr>
        <w:t>der</w:t>
      </w:r>
      <w:r>
        <w:rPr>
          <w:color w:val="231F20"/>
          <w:spacing w:val="-12"/>
        </w:rPr>
        <w:t> </w:t>
      </w:r>
      <w:r>
        <w:rPr>
          <w:color w:val="231F20"/>
        </w:rPr>
        <w:t>Bauherrschaft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war,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trotz</w:t>
      </w:r>
      <w:r>
        <w:rPr>
          <w:color w:val="231F20"/>
          <w:spacing w:val="-12"/>
        </w:rPr>
        <w:t> </w:t>
      </w:r>
      <w:r>
        <w:rPr>
          <w:color w:val="231F20"/>
        </w:rPr>
        <w:t>alter</w:t>
      </w:r>
      <w:r>
        <w:rPr>
          <w:color w:val="231F20"/>
          <w:spacing w:val="28"/>
        </w:rPr>
        <w:t> </w:t>
      </w:r>
      <w:r>
        <w:rPr>
          <w:color w:val="231F20"/>
        </w:rPr>
        <w:t>Bausubstanz</w:t>
      </w:r>
      <w:r>
        <w:rPr>
          <w:color w:val="231F20"/>
          <w:spacing w:val="35"/>
        </w:rPr>
        <w:t> </w:t>
      </w:r>
      <w:r>
        <w:rPr>
          <w:color w:val="231F20"/>
        </w:rPr>
        <w:t>eine</w:t>
      </w:r>
      <w:r>
        <w:rPr>
          <w:color w:val="231F20"/>
          <w:spacing w:val="36"/>
        </w:rPr>
        <w:t> </w:t>
      </w:r>
      <w:r>
        <w:rPr>
          <w:color w:val="231F20"/>
        </w:rPr>
        <w:t>hohe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Eigenener-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gieversorgung</w:t>
      </w:r>
      <w:r>
        <w:rPr>
          <w:color w:val="231F20"/>
          <w:spacing w:val="-4"/>
        </w:rPr>
        <w:t> </w:t>
      </w:r>
      <w:r>
        <w:rPr>
          <w:color w:val="231F20"/>
        </w:rPr>
        <w:t>zu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erlangen.</w:t>
      </w:r>
      <w:r>
        <w:rPr>
          <w:color w:val="231F20"/>
          <w:spacing w:val="-14"/>
        </w:rPr>
        <w:t> </w:t>
      </w:r>
      <w:r>
        <w:rPr>
          <w:color w:val="231F20"/>
        </w:rPr>
        <w:t>Dafür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pict>
          <v:shape style="position:absolute;margin-left:51.023998pt;margin-top:113.590706pt;width:345.827pt;height:234.113pt;mso-position-horizontal-relative:page;mso-position-vertical-relative:paragraph;z-index:1192" type="#_x0000_t75" stroked="false">
            <v:imagedata r:id="rId5" o:title=""/>
          </v:shape>
        </w:pict>
      </w:r>
      <w:r>
        <w:rPr>
          <w:color w:val="231F20"/>
        </w:rPr>
        <w:t>15.1</w:t>
      </w:r>
      <w:r>
        <w:rPr>
          <w:color w:val="231F20"/>
          <w:spacing w:val="27"/>
        </w:rPr>
        <w:t> </w:t>
      </w:r>
      <w:r>
        <w:rPr>
          <w:color w:val="231F20"/>
        </w:rPr>
        <w:t>kW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28"/>
        </w:rPr>
        <w:t> </w:t>
      </w:r>
      <w:r>
        <w:rPr>
          <w:color w:val="231F20"/>
        </w:rPr>
        <w:t>90</w:t>
      </w:r>
      <w:r>
        <w:rPr>
          <w:color w:val="231F20"/>
          <w:spacing w:val="28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2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28"/>
        </w:rPr>
        <w:t> </w:t>
      </w:r>
      <w:r>
        <w:rPr>
          <w:color w:val="231F20"/>
        </w:rPr>
        <w:t>Photo-</w:t>
      </w:r>
      <w:r>
        <w:rPr>
          <w:color w:val="231F20"/>
          <w:spacing w:val="24"/>
        </w:rPr>
        <w:t> </w:t>
      </w:r>
      <w:r>
        <w:rPr>
          <w:color w:val="231F20"/>
        </w:rPr>
        <w:t>voltaikanlage</w:t>
      </w:r>
      <w:r>
        <w:rPr>
          <w:color w:val="231F20"/>
          <w:spacing w:val="21"/>
        </w:rPr>
        <w:t> </w:t>
      </w:r>
      <w:r>
        <w:rPr>
          <w:color w:val="231F20"/>
        </w:rPr>
        <w:t>mit</w:t>
      </w:r>
      <w:r>
        <w:rPr>
          <w:color w:val="231F20"/>
          <w:spacing w:val="21"/>
        </w:rPr>
        <w:t> </w:t>
      </w:r>
      <w:r>
        <w:rPr>
          <w:color w:val="231F20"/>
        </w:rPr>
        <w:t>einem</w:t>
      </w:r>
      <w:r>
        <w:rPr>
          <w:color w:val="231F20"/>
          <w:spacing w:val="21"/>
        </w:rPr>
        <w:t> </w:t>
      </w:r>
      <w:r>
        <w:rPr>
          <w:color w:val="231F20"/>
        </w:rPr>
        <w:t>Batteriespeicher</w:t>
      </w:r>
      <w:r>
        <w:rPr>
          <w:color w:val="231F20"/>
          <w:spacing w:val="29"/>
        </w:rPr>
        <w:t> </w:t>
      </w:r>
      <w:r>
        <w:rPr>
          <w:color w:val="231F20"/>
        </w:rPr>
        <w:t>mit</w:t>
      </w:r>
      <w:r>
        <w:rPr>
          <w:color w:val="231F20"/>
          <w:spacing w:val="45"/>
        </w:rPr>
        <w:t> </w:t>
      </w:r>
      <w:r>
        <w:rPr>
          <w:color w:val="231F20"/>
        </w:rPr>
        <w:t>einer</w:t>
      </w:r>
      <w:r>
        <w:rPr>
          <w:color w:val="231F20"/>
          <w:spacing w:val="46"/>
        </w:rPr>
        <w:t> </w:t>
      </w:r>
      <w:r>
        <w:rPr>
          <w:color w:val="231F20"/>
        </w:rPr>
        <w:t>Kapazität</w:t>
      </w:r>
      <w:r>
        <w:rPr>
          <w:color w:val="231F20"/>
          <w:spacing w:val="45"/>
        </w:rPr>
        <w:t> </w:t>
      </w:r>
      <w:r>
        <w:rPr>
          <w:color w:val="231F20"/>
        </w:rPr>
        <w:t>von</w:t>
      </w:r>
      <w:r>
        <w:rPr>
          <w:color w:val="231F20"/>
          <w:spacing w:val="46"/>
        </w:rPr>
        <w:t> </w:t>
      </w:r>
      <w:r>
        <w:rPr>
          <w:color w:val="231F20"/>
        </w:rPr>
        <w:t>16</w:t>
      </w:r>
      <w:r>
        <w:rPr>
          <w:color w:val="231F20"/>
          <w:spacing w:val="46"/>
        </w:rPr>
        <w:t> </w:t>
      </w:r>
      <w:r>
        <w:rPr>
          <w:color w:val="231F20"/>
        </w:rPr>
        <w:t>kWh</w:t>
      </w:r>
      <w:r>
        <w:rPr>
          <w:color w:val="231F20"/>
          <w:spacing w:val="45"/>
        </w:rPr>
        <w:t> </w:t>
      </w:r>
      <w:r>
        <w:rPr>
          <w:color w:val="231F20"/>
        </w:rPr>
        <w:t>ergänzt.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Solaranlagen</w:t>
      </w:r>
      <w:r>
        <w:rPr>
          <w:color w:val="231F20"/>
          <w:spacing w:val="9"/>
        </w:rPr>
        <w:t> </w:t>
      </w:r>
      <w:r>
        <w:rPr>
          <w:color w:val="231F20"/>
        </w:rPr>
        <w:t>erzeugen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9"/>
        </w:rPr>
        <w:t> </w:t>
      </w:r>
      <w:r>
        <w:rPr>
          <w:color w:val="231F20"/>
        </w:rPr>
        <w:t>rund</w:t>
      </w:r>
      <w:r>
        <w:rPr>
          <w:color w:val="231F20"/>
          <w:spacing w:val="31"/>
        </w:rPr>
        <w:t> </w:t>
      </w:r>
      <w:r>
        <w:rPr>
          <w:color w:val="231F20"/>
        </w:rPr>
        <w:t>16’400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4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decken</w:t>
      </w:r>
      <w:r>
        <w:rPr>
          <w:color w:val="231F20"/>
          <w:spacing w:val="24"/>
        </w:rPr>
        <w:t> </w:t>
      </w:r>
      <w:r>
        <w:rPr>
          <w:color w:val="231F20"/>
        </w:rPr>
        <w:t>ca.</w:t>
      </w:r>
      <w:r>
        <w:rPr>
          <w:color w:val="231F20"/>
          <w:spacing w:val="13"/>
        </w:rPr>
        <w:t> </w:t>
      </w:r>
      <w:r>
        <w:rPr>
          <w:color w:val="231F20"/>
        </w:rPr>
        <w:t>80</w:t>
      </w:r>
      <w:r>
        <w:rPr>
          <w:color w:val="231F20"/>
          <w:spacing w:val="24"/>
        </w:rPr>
        <w:t> </w:t>
      </w:r>
      <w:r>
        <w:rPr>
          <w:color w:val="231F20"/>
        </w:rPr>
        <w:t>%</w:t>
      </w:r>
      <w:r>
        <w:rPr>
          <w:color w:val="231F20"/>
          <w:spacing w:val="24"/>
        </w:rPr>
        <w:t> </w:t>
      </w:r>
      <w:r>
        <w:rPr>
          <w:color w:val="231F20"/>
        </w:rPr>
        <w:t>des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Gesamtenergiebedarfs.</w:t>
      </w:r>
      <w:r>
        <w:rPr>
          <w:color w:val="231F20"/>
          <w:spacing w:val="32"/>
        </w:rPr>
        <w:t> </w:t>
      </w:r>
      <w:r>
        <w:rPr>
          <w:color w:val="231F20"/>
        </w:rPr>
        <w:t>Der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sommerliche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Wärmeüberschuss</w:t>
      </w:r>
      <w:r>
        <w:rPr>
          <w:color w:val="231F20"/>
          <w:spacing w:val="2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6.9</w:t>
      </w:r>
      <w:r>
        <w:rPr>
          <w:color w:val="231F20"/>
          <w:spacing w:val="2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4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thermischen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Solaranlage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40"/>
        </w:rPr>
        <w:t> </w:t>
      </w:r>
      <w:r>
        <w:rPr>
          <w:color w:val="231F20"/>
        </w:rPr>
        <w:t>für</w:t>
      </w:r>
      <w:r>
        <w:rPr>
          <w:color w:val="231F20"/>
          <w:spacing w:val="41"/>
        </w:rPr>
        <w:t> </w:t>
      </w:r>
      <w:r>
        <w:rPr>
          <w:color w:val="231F20"/>
        </w:rPr>
        <w:t>die</w:t>
      </w:r>
      <w:r>
        <w:rPr>
          <w:color w:val="231F20"/>
          <w:spacing w:val="41"/>
        </w:rPr>
        <w:t> </w:t>
      </w:r>
      <w:r>
        <w:rPr>
          <w:color w:val="231F20"/>
        </w:rPr>
        <w:t>Au-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ssenpooltemperierung</w:t>
      </w:r>
      <w:r>
        <w:rPr>
          <w:color w:val="231F20"/>
          <w:spacing w:val="23"/>
        </w:rPr>
        <w:t> </w:t>
      </w:r>
      <w:r>
        <w:rPr>
          <w:color w:val="231F20"/>
        </w:rPr>
        <w:t>verwendet.</w:t>
      </w:r>
      <w:r>
        <w:rPr>
          <w:color w:val="231F20"/>
          <w:spacing w:val="13"/>
        </w:rPr>
        <w:t> </w:t>
      </w:r>
      <w:r>
        <w:rPr>
          <w:color w:val="231F20"/>
        </w:rPr>
        <w:t>Im</w:t>
      </w:r>
      <w:r>
        <w:rPr>
          <w:color w:val="231F20"/>
          <w:spacing w:val="24"/>
        </w:rPr>
        <w:t> </w:t>
      </w:r>
      <w:r>
        <w:rPr>
          <w:color w:val="231F20"/>
        </w:rPr>
        <w:t>Win-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151"/>
        <w:ind w:left="119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ter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5"/>
        </w:rPr>
        <w:t> </w:t>
      </w:r>
      <w:r>
        <w:rPr>
          <w:color w:val="231F20"/>
        </w:rPr>
        <w:t>eine</w:t>
      </w:r>
      <w:r>
        <w:rPr>
          <w:color w:val="231F20"/>
          <w:spacing w:val="34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Erdgas</w:t>
      </w:r>
      <w:r>
        <w:rPr>
          <w:color w:val="231F20"/>
          <w:spacing w:val="35"/>
        </w:rPr>
        <w:t> </w:t>
      </w:r>
      <w:r>
        <w:rPr>
          <w:color w:val="231F20"/>
        </w:rPr>
        <w:t>betriebene</w:t>
      </w:r>
      <w:r>
        <w:rPr>
          <w:color w:val="231F20"/>
          <w:spacing w:val="22"/>
        </w:rPr>
        <w:t> </w:t>
      </w:r>
      <w:r>
        <w:rPr>
          <w:color w:val="231F20"/>
        </w:rPr>
        <w:t>Brennstoffzelle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Strom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erforderliche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Wärme.</w:t>
      </w:r>
      <w:r>
        <w:rPr>
          <w:color w:val="231F20"/>
          <w:spacing w:val="-27"/>
        </w:rPr>
        <w:t> </w:t>
      </w:r>
      <w:r>
        <w:rPr>
          <w:color w:val="231F20"/>
        </w:rPr>
        <w:t>Sie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konsumiert</w:t>
      </w:r>
      <w:r>
        <w:rPr>
          <w:color w:val="231F20"/>
          <w:spacing w:val="-16"/>
        </w:rPr>
        <w:t> </w:t>
      </w:r>
      <w:r>
        <w:rPr>
          <w:color w:val="231F20"/>
        </w:rPr>
        <w:t>jährlich</w:t>
      </w:r>
      <w:r>
        <w:rPr>
          <w:color w:val="231F20"/>
          <w:spacing w:val="-16"/>
        </w:rPr>
        <w:t> </w:t>
      </w:r>
      <w:r>
        <w:rPr>
          <w:color w:val="231F20"/>
        </w:rPr>
        <w:t>etwa</w:t>
      </w:r>
      <w:r>
        <w:rPr>
          <w:color w:val="231F20"/>
          <w:spacing w:val="-16"/>
        </w:rPr>
        <w:t> </w:t>
      </w:r>
      <w:r>
        <w:rPr>
          <w:color w:val="231F20"/>
        </w:rPr>
        <w:t>13’000</w:t>
      </w:r>
      <w:r>
        <w:rPr>
          <w:color w:val="231F20"/>
          <w:spacing w:val="30"/>
        </w:rPr>
        <w:t> </w:t>
      </w:r>
      <w:r>
        <w:rPr>
          <w:color w:val="231F20"/>
        </w:rPr>
        <w:t>kWh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fossile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emittiert</w:t>
      </w:r>
      <w:r>
        <w:rPr>
          <w:color w:val="231F20"/>
          <w:spacing w:val="15"/>
        </w:rPr>
        <w:t> </w:t>
      </w:r>
      <w:r>
        <w:rPr>
          <w:color w:val="231F20"/>
        </w:rPr>
        <w:t>ca.</w:t>
      </w:r>
      <w:r>
        <w:rPr>
          <w:color w:val="231F20"/>
          <w:spacing w:val="4"/>
        </w:rPr>
        <w:t> </w:t>
      </w:r>
      <w:r>
        <w:rPr>
          <w:color w:val="231F20"/>
        </w:rPr>
        <w:t>2.6</w:t>
      </w:r>
      <w:r>
        <w:rPr>
          <w:color w:val="231F20"/>
          <w:spacing w:val="15"/>
        </w:rPr>
        <w:t> </w:t>
      </w:r>
      <w:r>
        <w:rPr>
          <w:color w:val="231F20"/>
        </w:rPr>
        <w:t>t</w:t>
      </w:r>
      <w:r>
        <w:rPr>
          <w:color w:val="231F20"/>
          <w:spacing w:val="20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  <w:spacing w:val="22"/>
          <w:position w:val="-5"/>
          <w:sz w:val="10"/>
          <w:szCs w:val="10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Jahr.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Architektonisch</w:t>
      </w:r>
      <w:r>
        <w:rPr>
          <w:color w:val="231F20"/>
          <w:spacing w:val="6"/>
        </w:rPr>
        <w:t> </w:t>
      </w:r>
      <w:r>
        <w:rPr>
          <w:color w:val="231F20"/>
        </w:rPr>
        <w:t>gelungen</w:t>
      </w:r>
      <w:r>
        <w:rPr>
          <w:color w:val="231F20"/>
          <w:spacing w:val="6"/>
        </w:rPr>
        <w:t> </w:t>
      </w:r>
      <w:r>
        <w:rPr>
          <w:color w:val="231F20"/>
        </w:rPr>
        <w:t>ist</w:t>
      </w:r>
      <w:r>
        <w:rPr>
          <w:color w:val="231F20"/>
          <w:spacing w:val="6"/>
        </w:rPr>
        <w:t> </w:t>
      </w:r>
      <w:r>
        <w:rPr>
          <w:color w:val="231F20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sorgfäl-</w:t>
      </w:r>
      <w:r>
        <w:rPr>
          <w:color w:val="231F20"/>
          <w:spacing w:val="21"/>
        </w:rPr>
        <w:t> </w:t>
      </w:r>
      <w:r>
        <w:rPr>
          <w:color w:val="231F20"/>
        </w:rPr>
        <w:t>tige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Integration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14"/>
        </w:rPr>
        <w:t> </w:t>
      </w:r>
      <w:r>
        <w:rPr>
          <w:color w:val="231F20"/>
        </w:rPr>
        <w:t>als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ob-</w:t>
      </w:r>
      <w:r>
        <w:rPr>
          <w:color w:val="231F20"/>
          <w:spacing w:val="39"/>
        </w:rPr>
        <w:t> </w:t>
      </w:r>
      <w:r>
        <w:rPr>
          <w:color w:val="231F20"/>
        </w:rPr>
        <w:t>jekt-typische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stilgerechte Interpretation</w:t>
      </w:r>
      <w:r>
        <w:rPr>
          <w:color w:val="231F20"/>
          <w:spacing w:val="42"/>
        </w:rPr>
        <w:t> </w:t>
      </w:r>
      <w:r>
        <w:rPr>
          <w:color w:val="231F20"/>
        </w:rPr>
        <w:t>eines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1970er-Jahre</w:t>
      </w:r>
      <w:r>
        <w:rPr>
          <w:color w:val="231F20"/>
          <w:spacing w:val="16"/>
        </w:rPr>
        <w:t> </w:t>
      </w:r>
      <w:r>
        <w:rPr>
          <w:color w:val="231F20"/>
        </w:rPr>
        <w:t>Eternitdachs.</w:t>
      </w:r>
      <w:r>
        <w:rPr>
          <w:color w:val="231F20"/>
          <w:spacing w:val="5"/>
        </w:rPr>
        <w:t> </w:t>
      </w:r>
      <w:r>
        <w:rPr>
          <w:color w:val="231F20"/>
        </w:rPr>
        <w:t>Dafür</w:t>
      </w:r>
      <w:r>
        <w:rPr>
          <w:color w:val="231F20"/>
          <w:spacing w:val="16"/>
        </w:rPr>
        <w:t> </w:t>
      </w:r>
      <w:r>
        <w:rPr>
          <w:color w:val="231F20"/>
        </w:rPr>
        <w:t>er-</w:t>
      </w:r>
      <w:r>
        <w:rPr>
          <w:color w:val="231F20"/>
          <w:spacing w:val="29"/>
        </w:rPr>
        <w:t> </w:t>
      </w:r>
      <w:r>
        <w:rPr>
          <w:color w:val="231F20"/>
        </w:rPr>
        <w:t>hält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Keller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Ammann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Solarpreis-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Diplom.</w:t>
      </w:r>
      <w:r>
        <w:rPr/>
      </w:r>
    </w:p>
    <w:p>
      <w:pPr>
        <w:spacing w:before="83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33" w:val="left" w:leader="none"/>
          <w:tab w:pos="1921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15 cm</w:t>
        <w:tab/>
        <w:t>U-Wert: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0.24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36" w:val="left" w:leader="none"/>
          <w:tab w:pos="1921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cm</w:t>
        <w:tab/>
        <w:t>U-Wert:   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0.17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17" w:val="left" w:leader="none"/>
          <w:tab w:pos="1921" w:val="left" w:leader="none"/>
          <w:tab w:pos="2604" w:val="left" w:leader="none"/>
        </w:tabs>
        <w:spacing w:line="207" w:lineRule="auto" w:before="5"/>
        <w:ind w:left="119" w:right="29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>10 cm</w:t>
        <w:tab/>
        <w:t>U-Wert: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0.25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</w:r>
      <w:r>
        <w:rPr>
          <w:rFonts w:ascii="Theinhardt Regular"/>
          <w:color w:val="231F20"/>
          <w:spacing w:val="1"/>
          <w:sz w:val="14"/>
        </w:rPr>
        <w:t>dreifach</w:t>
        <w:tab/>
      </w:r>
      <w:r>
        <w:rPr>
          <w:rFonts w:ascii="Theinhardt Regular"/>
          <w:color w:val="231F20"/>
          <w:sz w:val="14"/>
        </w:rPr>
        <w:t>U-Wert:</w:t>
        <w:tab/>
        <w:t>0.6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</w:t>
      </w:r>
      <w:r>
        <w:rPr>
          <w:rFonts w:ascii="Theinhardt Bold"/>
          <w:b/>
          <w:color w:val="231F20"/>
          <w:spacing w:val="1"/>
          <w:sz w:val="14"/>
        </w:rPr>
        <w:t>v</w:t>
      </w:r>
      <w:r>
        <w:rPr>
          <w:rFonts w:ascii="Theinhardt Bold"/>
          <w:b/>
          <w:color w:val="231F20"/>
          <w:spacing w:val="2"/>
          <w:sz w:val="14"/>
        </w:rPr>
        <w:t>o</w:t>
      </w:r>
      <w:r>
        <w:rPr>
          <w:rFonts w:ascii="Theinhardt Bold"/>
          <w:b/>
          <w:color w:val="231F20"/>
          <w:sz w:val="14"/>
        </w:rPr>
        <w:t>r Sanierung</w:t>
      </w:r>
      <w:r>
        <w:rPr>
          <w:rFonts w:ascii="Theinhardt Bold"/>
          <w:sz w:val="14"/>
        </w:rPr>
      </w:r>
    </w:p>
    <w:p>
      <w:pPr>
        <w:tabs>
          <w:tab w:pos="1620" w:val="left" w:leader="none"/>
          <w:tab w:pos="2393" w:val="left" w:leader="none"/>
          <w:tab w:pos="2430" w:val="left" w:leader="none"/>
          <w:tab w:pos="2793" w:val="left" w:leader="none"/>
          <w:tab w:pos="2842" w:val="left" w:leader="none"/>
        </w:tabs>
        <w:spacing w:line="207" w:lineRule="auto" w:before="5"/>
        <w:ind w:left="119" w:right="3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EBF: 298 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Heizung:   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250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92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74’500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12" w:val="left" w:leader="none"/>
          <w:tab w:pos="2476" w:val="left" w:leader="none"/>
          <w:tab w:pos="2864" w:val="left" w:leader="none"/>
        </w:tabs>
        <w:spacing w:line="154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20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8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6’500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11" w:val="left" w:leader="none"/>
          <w:tab w:pos="2787" w:val="left" w:leader="none"/>
        </w:tabs>
        <w:spacing w:line="160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Gesamt-EB: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81’000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Sanierung</w:t>
      </w:r>
      <w:r>
        <w:rPr>
          <w:rFonts w:ascii="Theinhardt Bold"/>
          <w:sz w:val="14"/>
        </w:rPr>
      </w:r>
    </w:p>
    <w:p>
      <w:pPr>
        <w:tabs>
          <w:tab w:pos="1620" w:val="left" w:leader="none"/>
          <w:tab w:pos="2430" w:val="left" w:leader="none"/>
          <w:tab w:pos="2842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EBF: 298 m</w:t>
      </w:r>
      <w:r>
        <w:rPr>
          <w:rFonts w:ascii="Theinhardt Regular"/>
          <w:color w:val="231F20"/>
          <w:position w:val="5"/>
          <w:sz w:val="8"/>
        </w:rPr>
        <w:t>2</w:t>
        <w:tab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021" w:val="left" w:leader="none"/>
          <w:tab w:pos="2392" w:val="left" w:leader="none"/>
          <w:tab w:pos="2888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4’170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14" w:val="left" w:leader="none"/>
          <w:tab w:pos="2402" w:val="left" w:leader="none"/>
          <w:tab w:pos="2865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28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41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8’340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14" w:val="left" w:leader="none"/>
          <w:tab w:pos="2393" w:val="left" w:leader="none"/>
          <w:tab w:pos="2869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27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39</w:t>
        <w:tab/>
        <w:t>8’000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10" w:val="left" w:leader="none"/>
          <w:tab w:pos="2788" w:val="left" w:leader="none"/>
        </w:tabs>
        <w:spacing w:line="172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20’510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933" w:val="left" w:leader="none"/>
          <w:tab w:pos="2401" w:val="left" w:leader="none"/>
          <w:tab w:pos="2842" w:val="left" w:leader="none"/>
        </w:tabs>
        <w:spacing w:line="207" w:lineRule="auto" w:before="5"/>
        <w:ind w:left="119" w:right="33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 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       </w:t>
      </w:r>
      <w:r>
        <w:rPr>
          <w:rFonts w:ascii="Theinhardt Regular" w:hAnsi="Theinhardt Regular" w:cs="Theinhardt Regular" w:eastAsia="Theinhardt Regular"/>
          <w:color w:val="231F20"/>
          <w:spacing w:val="2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Dach: 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6.9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381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13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2’600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1935" w:val="left" w:leader="none"/>
          <w:tab w:pos="2394" w:val="left" w:leader="none"/>
          <w:tab w:pos="2778" w:val="left" w:leader="none"/>
        </w:tabs>
        <w:spacing w:line="167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Dach: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90.4  </w:t>
      </w:r>
      <w:r>
        <w:rPr>
          <w:rFonts w:ascii="Theinhardt Regular" w:hAnsi="Theinhardt Regular" w:cs="Theinhardt Regular" w:eastAsia="Theinhardt Regular"/>
          <w:color w:val="231F20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15.13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154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67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13’800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70"/>
        <w:gridCol w:w="622"/>
      </w:tblGrid>
      <w:tr>
        <w:trPr>
          <w:trHeight w:val="156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Total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Eigenenergieversorung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16’400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5"/>
              <w:ind w:left="55" w:right="242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(Endenergie) 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32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28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8</w:t>
            </w:r>
            <w:r>
              <w:rPr>
                <w:rFonts w:ascii="Theinhardt Bold"/>
                <w:b/>
                <w:color w:val="231F20"/>
                <w:sz w:val="14"/>
              </w:rPr>
              <w:t>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16’400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20’510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Fremdenergiezufuhr: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8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2</w:t>
            </w:r>
            <w:r>
              <w:rPr>
                <w:rFonts w:ascii="Theinhardt Bold"/>
                <w:b/>
                <w:color w:val="231F20"/>
                <w:sz w:val="14"/>
              </w:rPr>
              <w:t>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3"/>
                <w:sz w:val="14"/>
                <w:szCs w:val="14"/>
              </w:rPr>
              <w:t>4’110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19" w:right="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ewl energie wasser luzern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24.07.2018,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Christoph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Eggerschwiler,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Tel.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041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369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43</w:t>
      </w:r>
      <w:r>
        <w:rPr>
          <w:rFonts w:ascii="Theinhardt Regular" w:hAnsi="Theinhardt Regular"/>
          <w:color w:val="231F20"/>
          <w:spacing w:val="-9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35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9" w:right="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Brigitte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und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Beat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Keller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Ammann,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Dreilindenstrasse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68,</w:t>
      </w:r>
      <w:r>
        <w:rPr>
          <w:rFonts w:ascii="Theinhardt Regular"/>
          <w:color w:val="231F20"/>
          <w:spacing w:val="6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6005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Luzern,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041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420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</w:t>
      </w:r>
      <w:r>
        <w:rPr>
          <w:rFonts w:ascii="Theinhardt Regular"/>
          <w:color w:val="231F20"/>
          <w:spacing w:val="-7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23,</w:t>
      </w:r>
      <w:r>
        <w:rPr>
          <w:rFonts w:ascii="Theinhardt Regular"/>
          <w:color w:val="231F20"/>
          <w:spacing w:val="-7"/>
          <w:sz w:val="14"/>
        </w:rPr>
        <w:t> </w:t>
      </w:r>
      <w:hyperlink r:id="rId6">
        <w:r>
          <w:rPr>
            <w:rFonts w:ascii="Theinhardt Regular"/>
            <w:color w:val="231F20"/>
            <w:spacing w:val="-2"/>
            <w:sz w:val="14"/>
          </w:rPr>
          <w:t>bb.keller@bluewin.ch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Konzeptentwicklung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Ausführung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PV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HT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PL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Pascal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Wieser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19" w:right="1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Bau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4,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LU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www.benetz.ch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119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200" w:lineRule="atLeast"/>
        <w:ind w:left="11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626" cy="171602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26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9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20" w:bottom="280" w:left="900" w:right="620"/>
          <w:cols w:num="3" w:equalWidth="0">
            <w:col w:w="3476" w:space="97"/>
            <w:col w:w="3465" w:space="107"/>
            <w:col w:w="3585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2250" w:h="17180"/>
          <w:pgMar w:top="1020" w:bottom="280" w:left="900" w:right="620"/>
        </w:sectPr>
      </w:pP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77"/>
        <w:ind w:left="34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15,1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PV-Anlage deckt zusammen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mit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solarthermischen Anlage 80% des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Gesamtenergiebedarfs.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Architektonisch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überzeugend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gelöst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sorgfältige</w:t>
      </w:r>
      <w:r>
        <w:rPr>
          <w:rFonts w:ascii="Theinhardt Bold" w:hAnsi="Theinhardt Bold"/>
          <w:b/>
          <w:color w:val="231F20"/>
          <w:sz w:val="14"/>
        </w:rPr>
        <w:t> Integrati-</w:t>
      </w:r>
      <w:r>
        <w:rPr>
          <w:rFonts w:ascii="Theinhardt Bold" w:hAnsi="Theinhardt Bold"/>
          <w:sz w:val="14"/>
        </w:rPr>
      </w:r>
    </w:p>
    <w:p>
      <w:pPr>
        <w:spacing w:line="160" w:lineRule="exact" w:before="77"/>
        <w:ind w:left="12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on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PV-Dachanlage</w:t>
      </w:r>
      <w:r>
        <w:rPr>
          <w:rFonts w:ascii="Theinhardt Bold"/>
          <w:b/>
          <w:color w:val="231F20"/>
          <w:sz w:val="14"/>
        </w:rPr>
        <w:t> als objekt-typische und</w:t>
      </w:r>
      <w:r>
        <w:rPr>
          <w:rFonts w:ascii="Theinhardt Bold"/>
          <w:b/>
          <w:color w:val="231F20"/>
          <w:spacing w:val="30"/>
          <w:sz w:val="14"/>
        </w:rPr>
        <w:t> </w:t>
      </w:r>
      <w:r>
        <w:rPr>
          <w:rFonts w:ascii="Theinhardt Bold"/>
          <w:b/>
          <w:color w:val="231F20"/>
          <w:sz w:val="14"/>
        </w:rPr>
        <w:t>stilgerechte Interpretation eines </w:t>
      </w:r>
      <w:r>
        <w:rPr>
          <w:rFonts w:ascii="Theinhardt Bold"/>
          <w:b/>
          <w:color w:val="231F20"/>
          <w:spacing w:val="-1"/>
          <w:sz w:val="14"/>
        </w:rPr>
        <w:t>1970er-Jahre</w:t>
      </w:r>
      <w:r>
        <w:rPr>
          <w:rFonts w:ascii="Theinhardt Bold"/>
          <w:b/>
          <w:color w:val="231F20"/>
          <w:spacing w:val="29"/>
          <w:sz w:val="14"/>
        </w:rPr>
        <w:t> </w:t>
      </w:r>
      <w:r>
        <w:rPr>
          <w:rFonts w:ascii="Theinhardt Bold"/>
          <w:b/>
          <w:color w:val="231F20"/>
          <w:sz w:val="14"/>
        </w:rPr>
        <w:t>Eternitdachs.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48" w:val="left" w:leader="none"/>
        </w:tabs>
        <w:spacing w:line="160" w:lineRule="exact" w:before="77"/>
        <w:ind w:left="347" w:right="31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Villa als typische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Vertreterin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Frutiger LT Com 45 Light" w:hAnsi="Frutiger LT Com 45 Light" w:cs="Frutiger LT Com 45 Light" w:eastAsia="Frutiger LT Com 45 Light"/>
          <w:b w:val="0"/>
          <w:bCs w:val="0"/>
          <w:color w:val="231F20"/>
          <w:sz w:val="14"/>
          <w:szCs w:val="14"/>
        </w:rPr>
        <w:t>«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béton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brut</w:t>
      </w:r>
      <w:r>
        <w:rPr>
          <w:rFonts w:ascii="Frutiger LT Com 45 Light" w:hAnsi="Frutiger LT Com 45 Light" w:cs="Frutiger LT Com 45 Light" w:eastAsia="Frutiger LT Com 45 Light"/>
          <w:b w:val="0"/>
          <w:bCs w:val="0"/>
          <w:color w:val="231F20"/>
          <w:sz w:val="14"/>
          <w:szCs w:val="14"/>
        </w:rPr>
        <w:t>»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.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Sanierung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verbrauchte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81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000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danach noch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20’510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20" w:bottom="280" w:left="900" w:right="620"/>
          <w:cols w:num="3" w:equalWidth="0">
            <w:col w:w="3418" w:space="381"/>
            <w:col w:w="3072" w:space="273"/>
            <w:col w:w="3586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7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85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utiger LT Com 45 Light">
    <w:altName w:val="Frutiger LT Com 45 Light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b.keller@bluewin.ch" TargetMode="External"/><Relationship Id="rId7" Type="http://schemas.openxmlformats.org/officeDocument/2006/relationships/hyperlink" Target="http://www.benetz.ch/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2018-10-02T10:14:57Z</dcterms:created>
  <dcterms:modified xsi:type="dcterms:W3CDTF">2018-10-02T10:14:57Z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