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3" w:val="left" w:leader="none"/>
        </w:tabs>
        <w:spacing w:line="230" w:lineRule="exact" w:before="28"/>
        <w:ind w:left="114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913401pt;margin-top:13.647326pt;width:.1pt;height:.1pt;mso-position-horizontal-relative:page;mso-position-vertical-relative:paragraph;z-index:-6640" coordorigin="578,273" coordsize="2,2">
            <v:shape style="position:absolute;left:578;top:273;width:2;height:2" coordorigin="578,273" coordsize="0,0" path="m578,273l578,27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1.086395pt;margin-top:13.647326pt;width:.1pt;height:.1pt;mso-position-horizontal-relative:page;mso-position-vertical-relative:paragraph;z-index:1096" coordorigin="3022,273" coordsize="2,2">
            <v:shape style="position:absolute;left:3022;top:273;width:2;height:2" coordorigin="3022,273" coordsize="0,0" path="m3022,273l3022,27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28.913401pt;margin-top:25.147326pt;width:.1pt;height:.1pt;mso-position-horizontal-relative:page;mso-position-vertical-relative:paragraph;z-index:-6592" coordorigin="578,503" coordsize="2,2">
            <v:shape style="position:absolute;left:578;top:503;width:2;height:2" coordorigin="578,503" coordsize="0,0" path="m578,503l578,50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1.086395pt;margin-top:25.147326pt;width:.1pt;height:.1pt;mso-position-horizontal-relative:page;mso-position-vertical-relative:paragraph;z-index:1144" coordorigin="3022,503" coordsize="2,2">
            <v:shape style="position:absolute;left:3022;top:503;width:2;height:2" coordorigin="3022,503" coordsize="0,0" path="m3022,503l3022,50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-Solarpreis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14" w:right="108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Dreifamilien-Reihenhaus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vier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Wohneinheiten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Meisterschwanden/Tennwil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erfüllt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color w:val="231F20"/>
          <w:spacing w:val="7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guter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Wärmedämmung,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A++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Haushaltgeräten,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LED-Lampen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effizienten,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solarbetriebenen</w:t>
      </w:r>
      <w:r>
        <w:rPr>
          <w:rFonts w:ascii="Theinhardt Bold" w:hAnsi="Theinhardt Bold" w:cs="Theinhardt Bold" w:eastAsia="Theinhardt Bold"/>
          <w:b/>
          <w:bCs/>
          <w:color w:val="231F20"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Erdsonden-Wärmepumpen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Minergie-P-Standard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19’900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ökolo-</w:t>
      </w:r>
      <w:r>
        <w:rPr>
          <w:rFonts w:ascii="Theinhardt Bold" w:hAnsi="Theinhardt Bold" w:cs="Theinhardt Bold" w:eastAsia="Theinhardt Bold"/>
          <w:b/>
          <w:bCs/>
          <w:color w:val="231F20"/>
          <w:spacing w:val="5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gische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Holz-Neubau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rekordverdächtig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tiefe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Energiekennzahl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(EKZ)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23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kWh/m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color w:val="231F20"/>
          <w:spacing w:val="9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Süddach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beispielhaft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31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Jahr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36’600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beträgt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PlusEnergie-MFH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184%.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16’700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können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zwölf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Elektroautos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über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km</w:t>
      </w:r>
      <w:r>
        <w:rPr>
          <w:rFonts w:ascii="Theinhardt Bold" w:hAnsi="Theinhardt Bold" w:cs="Theinhardt Bold" w:eastAsia="Theinhardt Bold"/>
          <w:b/>
          <w:bCs/>
          <w:color w:val="231F20"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fahren.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40" w:bottom="280" w:left="460" w:right="740"/>
          <w:cols w:num="2" w:equalWidth="0">
            <w:col w:w="2554" w:space="118"/>
            <w:col w:w="8038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5"/>
        <w:ind w:left="115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4"/>
          <w:sz w:val="40"/>
        </w:rPr>
        <w:t>184</w:t>
      </w:r>
      <w:r>
        <w:rPr>
          <w:rFonts w:ascii="Theinhardt Black"/>
          <w:b/>
          <w:color w:val="0067B1"/>
          <w:sz w:val="40"/>
        </w:rPr>
        <w:t>%</w:t>
      </w:r>
      <w:r>
        <w:rPr>
          <w:rFonts w:ascii="Theinhardt Black"/>
          <w:b/>
          <w:color w:val="0067B1"/>
          <w:spacing w:val="-8"/>
          <w:sz w:val="40"/>
        </w:rPr>
        <w:t> P</w:t>
      </w:r>
      <w:r>
        <w:rPr>
          <w:rFonts w:ascii="Theinhardt Black"/>
          <w:b/>
          <w:color w:val="0067B1"/>
          <w:spacing w:val="-6"/>
          <w:sz w:val="40"/>
        </w:rPr>
        <w:t>E</w:t>
      </w:r>
      <w:r>
        <w:rPr>
          <w:rFonts w:ascii="Theinhardt Black"/>
          <w:b/>
          <w:color w:val="0067B1"/>
          <w:spacing w:val="-4"/>
          <w:sz w:val="40"/>
        </w:rPr>
        <w:t>B</w:t>
      </w:r>
      <w:r>
        <w:rPr>
          <w:rFonts w:ascii="Theinhardt Black"/>
          <w:b/>
          <w:color w:val="0067B1"/>
          <w:sz w:val="40"/>
        </w:rPr>
        <w:t>-</w:t>
      </w:r>
      <w:r>
        <w:rPr>
          <w:rFonts w:ascii="Theinhardt Black"/>
          <w:b/>
          <w:color w:val="0067B1"/>
          <w:spacing w:val="-2"/>
          <w:sz w:val="40"/>
        </w:rPr>
        <w:t>Re</w:t>
      </w:r>
      <w:r>
        <w:rPr>
          <w:rFonts w:ascii="Theinhardt Black"/>
          <w:b/>
          <w:color w:val="0067B1"/>
          <w:sz w:val="40"/>
        </w:rPr>
        <w:t>i</w:t>
      </w:r>
      <w:r>
        <w:rPr>
          <w:rFonts w:ascii="Theinhardt Black"/>
          <w:b/>
          <w:color w:val="0067B1"/>
          <w:spacing w:val="-3"/>
          <w:sz w:val="40"/>
        </w:rPr>
        <w:t>h</w:t>
      </w:r>
      <w:r>
        <w:rPr>
          <w:rFonts w:ascii="Theinhardt Black"/>
          <w:b/>
          <w:color w:val="0067B1"/>
          <w:spacing w:val="-2"/>
          <w:sz w:val="40"/>
        </w:rPr>
        <w:t>en</w:t>
      </w:r>
      <w:r>
        <w:rPr>
          <w:rFonts w:ascii="Theinhardt Black"/>
          <w:b/>
          <w:color w:val="0067B1"/>
          <w:spacing w:val="1"/>
          <w:sz w:val="40"/>
        </w:rPr>
        <w:t>h</w:t>
      </w:r>
      <w:r>
        <w:rPr>
          <w:rFonts w:ascii="Theinhardt Black"/>
          <w:b/>
          <w:color w:val="0067B1"/>
          <w:sz w:val="40"/>
        </w:rPr>
        <w:t>a</w:t>
      </w:r>
      <w:r>
        <w:rPr>
          <w:rFonts w:ascii="Theinhardt Black"/>
          <w:b/>
          <w:color w:val="0067B1"/>
          <w:spacing w:val="3"/>
          <w:sz w:val="40"/>
        </w:rPr>
        <w:t>u</w:t>
      </w:r>
      <w:r>
        <w:rPr>
          <w:rFonts w:ascii="Theinhardt Black"/>
          <w:b/>
          <w:color w:val="0067B1"/>
          <w:spacing w:val="6"/>
          <w:sz w:val="40"/>
        </w:rPr>
        <w:t>s</w:t>
      </w:r>
      <w:r>
        <w:rPr>
          <w:rFonts w:ascii="Theinhardt Black"/>
          <w:b/>
          <w:color w:val="0067B1"/>
          <w:sz w:val="40"/>
        </w:rPr>
        <w:t>,</w:t>
      </w:r>
      <w:r>
        <w:rPr>
          <w:rFonts w:ascii="Theinhardt Black"/>
          <w:b/>
          <w:color w:val="0067B1"/>
          <w:spacing w:val="-32"/>
          <w:sz w:val="40"/>
        </w:rPr>
        <w:t> </w:t>
      </w:r>
      <w:r>
        <w:rPr>
          <w:rFonts w:ascii="Theinhardt Black"/>
          <w:b/>
          <w:color w:val="0067B1"/>
          <w:spacing w:val="-4"/>
          <w:sz w:val="40"/>
        </w:rPr>
        <w:t>561</w:t>
      </w:r>
      <w:r>
        <w:rPr>
          <w:rFonts w:ascii="Theinhardt Black"/>
          <w:b/>
          <w:color w:val="0067B1"/>
          <w:sz w:val="40"/>
        </w:rPr>
        <w:t>6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-1"/>
          <w:sz w:val="40"/>
        </w:rPr>
        <w:t>M</w:t>
      </w:r>
      <w:r>
        <w:rPr>
          <w:rFonts w:ascii="Theinhardt Black"/>
          <w:b/>
          <w:color w:val="0067B1"/>
          <w:spacing w:val="-2"/>
          <w:sz w:val="40"/>
        </w:rPr>
        <w:t>e</w:t>
      </w:r>
      <w:r>
        <w:rPr>
          <w:rFonts w:ascii="Theinhardt Black"/>
          <w:b/>
          <w:color w:val="0067B1"/>
          <w:spacing w:val="4"/>
          <w:sz w:val="40"/>
        </w:rPr>
        <w:t>i</w:t>
      </w:r>
      <w:r>
        <w:rPr>
          <w:rFonts w:ascii="Theinhardt Black"/>
          <w:b/>
          <w:color w:val="0067B1"/>
          <w:spacing w:val="8"/>
          <w:sz w:val="40"/>
        </w:rPr>
        <w:t>s</w:t>
      </w:r>
      <w:r>
        <w:rPr>
          <w:rFonts w:ascii="Theinhardt Black"/>
          <w:b/>
          <w:color w:val="0067B1"/>
          <w:sz w:val="40"/>
        </w:rPr>
        <w:t>t</w:t>
      </w:r>
      <w:r>
        <w:rPr>
          <w:rFonts w:ascii="Theinhardt Black"/>
          <w:b/>
          <w:color w:val="0067B1"/>
          <w:spacing w:val="-3"/>
          <w:sz w:val="40"/>
        </w:rPr>
        <w:t>e</w:t>
      </w:r>
      <w:r>
        <w:rPr>
          <w:rFonts w:ascii="Theinhardt Black"/>
          <w:b/>
          <w:color w:val="0067B1"/>
          <w:spacing w:val="12"/>
          <w:sz w:val="40"/>
        </w:rPr>
        <w:t>r</w:t>
      </w:r>
      <w:r>
        <w:rPr>
          <w:rFonts w:ascii="Theinhardt Black"/>
          <w:b/>
          <w:color w:val="0067B1"/>
          <w:spacing w:val="2"/>
          <w:sz w:val="40"/>
        </w:rPr>
        <w:t>sc</w:t>
      </w:r>
      <w:r>
        <w:rPr>
          <w:rFonts w:ascii="Theinhardt Black"/>
          <w:b/>
          <w:color w:val="0067B1"/>
          <w:spacing w:val="-6"/>
          <w:sz w:val="40"/>
        </w:rPr>
        <w:t>h</w:t>
      </w:r>
      <w:r>
        <w:rPr>
          <w:rFonts w:ascii="Theinhardt Black"/>
          <w:b/>
          <w:color w:val="0067B1"/>
          <w:sz w:val="40"/>
        </w:rPr>
        <w:t>wa</w:t>
      </w:r>
      <w:r>
        <w:rPr>
          <w:rFonts w:ascii="Theinhardt Black"/>
          <w:b/>
          <w:color w:val="0067B1"/>
          <w:spacing w:val="-3"/>
          <w:sz w:val="40"/>
        </w:rPr>
        <w:t>nd</w:t>
      </w:r>
      <w:r>
        <w:rPr>
          <w:rFonts w:ascii="Theinhardt Black"/>
          <w:b/>
          <w:color w:val="0067B1"/>
          <w:spacing w:val="-2"/>
          <w:sz w:val="40"/>
        </w:rPr>
        <w:t>e</w:t>
      </w:r>
      <w:r>
        <w:rPr>
          <w:rFonts w:ascii="Theinhardt Black"/>
          <w:b/>
          <w:color w:val="0067B1"/>
          <w:spacing w:val="6"/>
          <w:sz w:val="40"/>
        </w:rPr>
        <w:t>n</w:t>
      </w:r>
      <w:r>
        <w:rPr>
          <w:rFonts w:ascii="Theinhardt Black"/>
          <w:b/>
          <w:color w:val="0067B1"/>
          <w:spacing w:val="-30"/>
          <w:sz w:val="40"/>
        </w:rPr>
        <w:t>/</w:t>
      </w:r>
      <w:r>
        <w:rPr>
          <w:rFonts w:ascii="Theinhardt Black"/>
          <w:b/>
          <w:color w:val="0067B1"/>
          <w:spacing w:val="-8"/>
          <w:sz w:val="40"/>
        </w:rPr>
        <w:t>A</w:t>
      </w:r>
      <w:r>
        <w:rPr>
          <w:rFonts w:ascii="Theinhardt Black"/>
          <w:b/>
          <w:color w:val="0067B1"/>
          <w:sz w:val="40"/>
        </w:rPr>
        <w:t>G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40" w:bottom="280" w:left="460" w:right="740"/>
        </w:sectPr>
      </w:pPr>
    </w:p>
    <w:p>
      <w:pPr>
        <w:pStyle w:val="BodyText"/>
        <w:spacing w:line="230" w:lineRule="exact" w:before="52"/>
        <w:ind w:right="8" w:firstLine="0"/>
        <w:jc w:val="both"/>
      </w:pPr>
      <w:r>
        <w:rPr>
          <w:color w:val="231F20"/>
        </w:rPr>
        <w:t>In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der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ländlichen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Aargauer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Region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Meister-</w:t>
      </w:r>
      <w:r>
        <w:rPr>
          <w:color w:val="231F20"/>
          <w:spacing w:val="33"/>
        </w:rPr>
        <w:t> </w:t>
      </w:r>
      <w:r>
        <w:rPr>
          <w:color w:val="231F20"/>
          <w:spacing w:val="-3"/>
        </w:rPr>
        <w:t>schwanden/Tennwil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steht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seit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Mai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2018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anstelle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eines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alten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Bauernhauses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schlechter</w:t>
      </w:r>
      <w:r>
        <w:rPr>
          <w:color w:val="231F20"/>
        </w:rPr>
        <w:t> </w:t>
      </w:r>
      <w:r>
        <w:rPr>
          <w:color w:val="231F20"/>
          <w:spacing w:val="-2"/>
        </w:rPr>
        <w:t>Bausubstanz</w:t>
      </w:r>
      <w:r>
        <w:rPr>
          <w:color w:val="231F20"/>
        </w:rPr>
        <w:t> </w:t>
      </w:r>
      <w:r>
        <w:rPr>
          <w:color w:val="231F20"/>
          <w:spacing w:val="-2"/>
        </w:rPr>
        <w:t>ein</w:t>
      </w:r>
      <w:r>
        <w:rPr>
          <w:color w:val="231F20"/>
        </w:rPr>
        <w:t> </w:t>
      </w:r>
      <w:r>
        <w:rPr>
          <w:color w:val="231F20"/>
          <w:spacing w:val="-2"/>
        </w:rPr>
        <w:t>vorbildlicher</w:t>
      </w:r>
      <w:r>
        <w:rPr>
          <w:color w:val="231F20"/>
          <w:spacing w:val="31"/>
        </w:rPr>
        <w:t> </w:t>
      </w:r>
      <w:r>
        <w:rPr>
          <w:color w:val="231F20"/>
          <w:spacing w:val="-3"/>
        </w:rPr>
        <w:t>PlusEnergie-Reihenhauskomplex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vier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Wohneinheiten.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-2"/>
        </w:rPr>
        <w:t>Zusammen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dem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Architekten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ent-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schied</w:t>
      </w:r>
      <w:r>
        <w:rPr>
          <w:color w:val="231F20"/>
          <w:spacing w:val="30"/>
        </w:rPr>
        <w:t> </w:t>
      </w:r>
      <w:r>
        <w:rPr>
          <w:color w:val="231F20"/>
          <w:spacing w:val="-2"/>
        </w:rPr>
        <w:t>sich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0"/>
        </w:rPr>
        <w:t> </w:t>
      </w:r>
      <w:r>
        <w:rPr>
          <w:color w:val="231F20"/>
          <w:spacing w:val="-2"/>
        </w:rPr>
        <w:t>Bauherrin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für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einen</w:t>
      </w:r>
      <w:r>
        <w:rPr>
          <w:color w:val="231F20"/>
          <w:spacing w:val="30"/>
        </w:rPr>
        <w:t> </w:t>
      </w:r>
      <w:r>
        <w:rPr>
          <w:color w:val="231F20"/>
          <w:spacing w:val="-3"/>
        </w:rPr>
        <w:t>ökolo-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gischen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Neubau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aus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heimischen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Holz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nachhaltiger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Dämmung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aus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Mineralwolle.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Die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Farb-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und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Materialwahl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lehnt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sich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dem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ursprünglichen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Bauernhaus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an.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Dies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war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eine</w:t>
      </w:r>
      <w:r>
        <w:rPr>
          <w:color w:val="231F20"/>
          <w:spacing w:val="44"/>
        </w:rPr>
        <w:t> </w:t>
      </w:r>
      <w:r>
        <w:rPr>
          <w:color w:val="231F20"/>
          <w:spacing w:val="-2"/>
        </w:rPr>
        <w:t>Auflage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der</w:t>
      </w:r>
      <w:r>
        <w:rPr>
          <w:color w:val="231F20"/>
          <w:spacing w:val="44"/>
        </w:rPr>
        <w:t> </w:t>
      </w:r>
      <w:r>
        <w:rPr>
          <w:color w:val="231F20"/>
          <w:spacing w:val="-2"/>
        </w:rPr>
        <w:t>Baubehörde.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Neben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der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Dämmung</w:t>
      </w:r>
      <w:r>
        <w:rPr>
          <w:color w:val="231F20"/>
          <w:spacing w:val="9"/>
        </w:rPr>
        <w:t> </w:t>
      </w:r>
      <w:r>
        <w:rPr>
          <w:color w:val="231F20"/>
          <w:spacing w:val="-3"/>
        </w:rPr>
        <w:t>sorgen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Komfortlüftung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Wärmerückgewinnungsanlage,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LED-Lampen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sowie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verwendeten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A++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Haushaltsge-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räte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für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den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tiefen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Energiebedarf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von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bloss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19’900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kWh/a.</w:t>
      </w:r>
      <w:r>
        <w:rPr/>
      </w:r>
    </w:p>
    <w:p>
      <w:pPr>
        <w:pStyle w:val="BodyText"/>
        <w:spacing w:line="230" w:lineRule="exact"/>
        <w:ind w:right="9"/>
        <w:jc w:val="both"/>
      </w:pPr>
      <w:r>
        <w:rPr>
          <w:color w:val="231F20"/>
          <w:spacing w:val="-2"/>
        </w:rPr>
        <w:t>Eine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solar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betriebene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Erdsonden-Wärme-</w:t>
      </w:r>
      <w:r>
        <w:rPr>
          <w:color w:val="231F20"/>
          <w:spacing w:val="39"/>
        </w:rPr>
        <w:t> </w:t>
      </w:r>
      <w:r>
        <w:rPr>
          <w:color w:val="231F20"/>
          <w:spacing w:val="-2"/>
        </w:rPr>
        <w:t>pumpe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liefert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genügend</w:t>
      </w:r>
      <w:r>
        <w:rPr>
          <w:color w:val="231F20"/>
          <w:spacing w:val="-3"/>
        </w:rPr>
        <w:t> Energie </w:t>
      </w:r>
      <w:r>
        <w:rPr>
          <w:color w:val="231F20"/>
          <w:spacing w:val="-2"/>
        </w:rPr>
        <w:t>für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Hei-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zung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das</w:t>
      </w:r>
      <w:r>
        <w:rPr>
          <w:color w:val="231F20"/>
          <w:spacing w:val="-7"/>
        </w:rPr>
        <w:t> </w:t>
      </w:r>
      <w:r>
        <w:rPr>
          <w:color w:val="231F20"/>
          <w:spacing w:val="-5"/>
        </w:rPr>
        <w:t>Warmwasser.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Die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Fenster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nach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Süden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erhöhen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"/>
        </w:rPr>
        <w:t> </w:t>
      </w:r>
      <w:r>
        <w:rPr>
          <w:color w:val="231F20"/>
          <w:spacing w:val="-3"/>
        </w:rPr>
        <w:t>solare</w:t>
      </w:r>
      <w:r>
        <w:rPr>
          <w:color w:val="231F20"/>
          <w:spacing w:val="3"/>
        </w:rPr>
        <w:t> </w:t>
      </w:r>
      <w:r>
        <w:rPr>
          <w:color w:val="231F20"/>
          <w:spacing w:val="-3"/>
        </w:rPr>
        <w:t>Passivenergienut-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zung.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Die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PlusEnergie-Reihenhäuser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weisen</w:t>
      </w:r>
      <w:r>
        <w:rPr>
          <w:color w:val="231F20"/>
          <w:spacing w:val="51"/>
        </w:rPr>
        <w:t> </w:t>
      </w:r>
      <w:r>
        <w:rPr>
          <w:color w:val="231F20"/>
          <w:spacing w:val="-2"/>
        </w:rPr>
        <w:t>eine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bespielhaft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niedrige</w:t>
      </w:r>
      <w:r>
        <w:rPr>
          <w:color w:val="231F20"/>
          <w:spacing w:val="11"/>
        </w:rPr>
        <w:t> </w:t>
      </w:r>
      <w:r>
        <w:rPr>
          <w:color w:val="231F20"/>
          <w:spacing w:val="-3"/>
        </w:rPr>
        <w:t>Energiekennzahl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von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23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kWh/m</w:t>
      </w:r>
      <w:r>
        <w:rPr>
          <w:color w:val="231F20"/>
          <w:spacing w:val="-2"/>
          <w:position w:val="6"/>
          <w:sz w:val="10"/>
        </w:rPr>
        <w:t>2</w:t>
      </w:r>
      <w:r>
        <w:rPr>
          <w:color w:val="231F20"/>
          <w:spacing w:val="-2"/>
        </w:rPr>
        <w:t>a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auf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und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erfüllen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spielend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den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Minergie-P-Baustandard.</w:t>
      </w:r>
      <w:r>
        <w:rPr/>
      </w:r>
    </w:p>
    <w:p>
      <w:pPr>
        <w:pStyle w:val="BodyText"/>
        <w:spacing w:line="230" w:lineRule="exact"/>
        <w:ind w:right="1"/>
        <w:jc w:val="both"/>
      </w:pPr>
      <w:r>
        <w:rPr>
          <w:color w:val="231F20"/>
          <w:spacing w:val="-2"/>
        </w:rPr>
        <w:t>Die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vorbildlich</w:t>
      </w:r>
      <w:r>
        <w:rPr>
          <w:color w:val="231F20"/>
          <w:spacing w:val="47"/>
        </w:rPr>
        <w:t> </w:t>
      </w:r>
      <w:r>
        <w:rPr>
          <w:color w:val="231F20"/>
          <w:spacing w:val="-2"/>
        </w:rPr>
        <w:t>auf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dem</w:t>
      </w:r>
      <w:r>
        <w:rPr>
          <w:color w:val="231F20"/>
          <w:spacing w:val="47"/>
        </w:rPr>
        <w:t> </w:t>
      </w:r>
      <w:r>
        <w:rPr>
          <w:color w:val="231F20"/>
          <w:spacing w:val="-2"/>
        </w:rPr>
        <w:t>südlichen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Sat-</w:t>
      </w:r>
      <w:r>
        <w:rPr>
          <w:color w:val="231F20"/>
          <w:spacing w:val="39"/>
        </w:rPr>
        <w:t> </w:t>
      </w:r>
      <w:r>
        <w:rPr>
          <w:color w:val="231F20"/>
          <w:spacing w:val="-2"/>
        </w:rPr>
        <w:t>teldach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integrierte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31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kW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starke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PV-Anlage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erzeugt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jährlich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rund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36’600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kWh.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So-</w:t>
      </w:r>
      <w:r>
        <w:rPr>
          <w:color w:val="231F20"/>
          <w:spacing w:val="29"/>
        </w:rPr>
        <w:t> </w:t>
      </w:r>
      <w:r>
        <w:rPr>
          <w:color w:val="231F20"/>
          <w:spacing w:val="-3"/>
        </w:rPr>
        <w:t>larstrom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kommt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direkt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den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Bewohnern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zugu-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te.</w:t>
      </w:r>
      <w:r>
        <w:rPr>
          <w:color w:val="231F20"/>
          <w:spacing w:val="-3"/>
        </w:rPr>
        <w:t> </w:t>
      </w:r>
      <w:r>
        <w:rPr>
          <w:color w:val="231F20"/>
        </w:rPr>
        <w:t>Das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PlusEnergie-Mehrfamilienhaus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weist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einen</w:t>
      </w:r>
      <w:r>
        <w:rPr>
          <w:color w:val="231F20"/>
          <w:spacing w:val="39"/>
        </w:rPr>
        <w:t> </w:t>
      </w:r>
      <w:r>
        <w:rPr>
          <w:color w:val="231F20"/>
          <w:spacing w:val="-3"/>
        </w:rPr>
        <w:t>Solarstromüberschuss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von</w:t>
      </w:r>
      <w:r>
        <w:rPr>
          <w:color w:val="231F20"/>
          <w:spacing w:val="39"/>
        </w:rPr>
        <w:t> </w:t>
      </w:r>
      <w:r>
        <w:rPr>
          <w:color w:val="231F20"/>
          <w:spacing w:val="-2"/>
        </w:rPr>
        <w:t>16’700</w:t>
      </w:r>
      <w:r>
        <w:rPr>
          <w:color w:val="231F20"/>
          <w:spacing w:val="37"/>
        </w:rPr>
        <w:t> </w:t>
      </w:r>
      <w:r>
        <w:rPr>
          <w:color w:val="231F20"/>
          <w:spacing w:val="-4"/>
        </w:rPr>
        <w:t>kWh/a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oder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84%</w:t>
      </w:r>
      <w:r>
        <w:rPr>
          <w:color w:val="231F20"/>
          <w:spacing w:val="25"/>
        </w:rPr>
        <w:t> </w:t>
      </w:r>
      <w:r>
        <w:rPr>
          <w:color w:val="231F20"/>
          <w:spacing w:val="-3"/>
        </w:rPr>
        <w:t>auf.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26"/>
        </w:rPr>
        <w:t> </w:t>
      </w:r>
      <w:r>
        <w:rPr>
          <w:color w:val="231F20"/>
          <w:spacing w:val="-3"/>
        </w:rPr>
        <w:t>Solarstromüber-</w:t>
      </w:r>
      <w:r>
        <w:rPr>
          <w:color w:val="231F20"/>
          <w:spacing w:val="43"/>
        </w:rPr>
        <w:t> </w:t>
      </w:r>
      <w:r>
        <w:rPr>
          <w:color w:val="231F20"/>
          <w:spacing w:val="-3"/>
        </w:rPr>
        <w:t>schuss</w:t>
      </w:r>
      <w:r>
        <w:rPr>
          <w:color w:val="231F20"/>
          <w:spacing w:val="3"/>
        </w:rPr>
        <w:t> </w:t>
      </w:r>
      <w:r>
        <w:rPr>
          <w:color w:val="231F20"/>
          <w:spacing w:val="-3"/>
        </w:rPr>
        <w:t>versorgt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Gemeinde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einheimi-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schem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Strom.</w:t>
      </w:r>
      <w:r>
        <w:rPr>
          <w:color w:val="231F20"/>
          <w:spacing w:val="-9"/>
        </w:rPr>
        <w:t> </w:t>
      </w:r>
      <w:r>
        <w:rPr>
          <w:color w:val="231F20"/>
          <w:spacing w:val="-5"/>
        </w:rPr>
        <w:t>Total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könnten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12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Elektrofahr-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zeuge</w:t>
      </w:r>
      <w:r>
        <w:rPr>
          <w:color w:val="231F20"/>
        </w:rPr>
        <w:t> </w:t>
      </w:r>
      <w:r>
        <w:rPr>
          <w:color w:val="231F20"/>
          <w:spacing w:val="-2"/>
        </w:rPr>
        <w:t>jährlich</w:t>
      </w:r>
      <w:r>
        <w:rPr>
          <w:color w:val="231F20"/>
        </w:rPr>
        <w:t> </w:t>
      </w:r>
      <w:r>
        <w:rPr>
          <w:color w:val="231F20"/>
          <w:spacing w:val="-1"/>
        </w:rPr>
        <w:t>je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12’000</w:t>
      </w:r>
      <w:r>
        <w:rPr>
          <w:color w:val="231F20"/>
        </w:rPr>
        <w:t> </w:t>
      </w:r>
      <w:r>
        <w:rPr>
          <w:color w:val="231F20"/>
          <w:spacing w:val="-1"/>
        </w:rPr>
        <w:t>km</w:t>
      </w:r>
      <w:r>
        <w:rPr>
          <w:color w:val="231F20"/>
        </w:rPr>
        <w:t> </w:t>
      </w:r>
      <w:r>
        <w:rPr>
          <w:color w:val="231F20"/>
          <w:spacing w:val="-3"/>
        </w:rPr>
        <w:t>CO</w:t>
      </w:r>
      <w:r>
        <w:rPr>
          <w:color w:val="231F20"/>
          <w:spacing w:val="-3"/>
          <w:position w:val="-5"/>
          <w:sz w:val="10"/>
          <w:szCs w:val="10"/>
        </w:rPr>
        <w:t>2</w:t>
      </w:r>
      <w:r>
        <w:rPr>
          <w:color w:val="231F20"/>
          <w:spacing w:val="-3"/>
        </w:rPr>
        <w:t>-frei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fahren.</w:t>
      </w:r>
      <w:r>
        <w:rPr>
          <w:color w:val="231F20"/>
          <w:spacing w:val="23"/>
        </w:rPr>
        <w:t> </w:t>
      </w:r>
      <w:r>
        <w:rPr>
          <w:color w:val="231F20"/>
        </w:rPr>
        <w:t>Das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184%-PEB-Reihenhaus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verdient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den</w:t>
      </w:r>
      <w:r>
        <w:rPr>
          <w:color w:val="231F20"/>
          <w:spacing w:val="27"/>
        </w:rPr>
        <w:t> </w:t>
      </w:r>
      <w:r>
        <w:rPr>
          <w:color w:val="231F20"/>
          <w:spacing w:val="-3"/>
        </w:rPr>
        <w:t>PlusEnergieBau-Solarpreis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2019.</w:t>
      </w:r>
      <w:r>
        <w:rPr/>
      </w:r>
    </w:p>
    <w:p>
      <w:pPr>
        <w:spacing w:line="230" w:lineRule="exact" w:before="52"/>
        <w:ind w:left="106" w:right="5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/>
          <w:i/>
          <w:color w:val="231F20"/>
          <w:spacing w:val="1"/>
          <w:sz w:val="18"/>
        </w:rPr>
        <w:t>Dans</w:t>
      </w:r>
      <w:r>
        <w:rPr>
          <w:rFonts w:ascii="Theinhardt Regular Italic" w:hAnsi="Theinhardt Regular Italic"/>
          <w:i/>
          <w:color w:val="231F20"/>
          <w:spacing w:val="17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la</w:t>
      </w:r>
      <w:r>
        <w:rPr>
          <w:rFonts w:ascii="Theinhardt Regular Italic" w:hAnsi="Theinhardt Regular Italic"/>
          <w:i/>
          <w:color w:val="231F20"/>
          <w:spacing w:val="1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région</w:t>
      </w:r>
      <w:r>
        <w:rPr>
          <w:rFonts w:ascii="Theinhardt Regular Italic" w:hAnsi="Theinhardt Regular Italic"/>
          <w:i/>
          <w:color w:val="231F20"/>
          <w:spacing w:val="17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rurale</w:t>
      </w:r>
      <w:r>
        <w:rPr>
          <w:rFonts w:ascii="Theinhardt Regular Italic" w:hAnsi="Theinhardt Regular Italic"/>
          <w:i/>
          <w:color w:val="231F20"/>
          <w:spacing w:val="1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de</w:t>
      </w:r>
      <w:r>
        <w:rPr>
          <w:rFonts w:ascii="Theinhardt Regular Italic" w:hAnsi="Theinhardt Regular Italic"/>
          <w:i/>
          <w:color w:val="231F20"/>
          <w:spacing w:val="1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Meisterschwanden</w:t>
      </w:r>
      <w:r>
        <w:rPr>
          <w:rFonts w:ascii="Theinhardt Regular Italic" w:hAnsi="Theinhardt Regular Italic"/>
          <w:i/>
          <w:color w:val="231F20"/>
          <w:spacing w:val="35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(AG),</w:t>
      </w:r>
      <w:r>
        <w:rPr>
          <w:rFonts w:ascii="Theinhardt Regular Italic" w:hAnsi="Theinhardt Regular Italic"/>
          <w:i/>
          <w:color w:val="231F20"/>
          <w:spacing w:val="-9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un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lotissement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BEP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en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terrasses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exem-</w:t>
      </w:r>
      <w:r>
        <w:rPr>
          <w:rFonts w:ascii="Theinhardt Regular Italic" w:hAnsi="Theinhardt Regular Italic"/>
          <w:i/>
          <w:color w:val="231F20"/>
          <w:spacing w:val="30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plaire</w:t>
      </w:r>
      <w:r>
        <w:rPr>
          <w:rFonts w:ascii="Theinhardt Regular Italic" w:hAnsi="Theinhardt Regular Italic"/>
          <w:i/>
          <w:color w:val="231F20"/>
          <w:spacing w:val="4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de</w:t>
      </w:r>
      <w:r>
        <w:rPr>
          <w:rFonts w:ascii="Theinhardt Regular Italic" w:hAnsi="Theinhardt Regular Italic"/>
          <w:i/>
          <w:color w:val="231F20"/>
          <w:spacing w:val="4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quatre</w:t>
      </w:r>
      <w:r>
        <w:rPr>
          <w:rFonts w:ascii="Theinhardt Regular Italic" w:hAnsi="Theinhardt Regular Italic"/>
          <w:i/>
          <w:color w:val="231F20"/>
          <w:spacing w:val="4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appartements</w:t>
      </w:r>
      <w:r>
        <w:rPr>
          <w:rFonts w:ascii="Theinhardt Regular Italic" w:hAnsi="Theinhardt Regular Italic"/>
          <w:i/>
          <w:color w:val="231F20"/>
          <w:spacing w:val="4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remplace</w:t>
      </w:r>
      <w:r>
        <w:rPr>
          <w:rFonts w:ascii="Theinhardt Regular Italic" w:hAnsi="Theinhardt Regular Italic"/>
          <w:i/>
          <w:color w:val="231F20"/>
          <w:spacing w:val="4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de-</w:t>
      </w:r>
      <w:r>
        <w:rPr>
          <w:rFonts w:ascii="Theinhardt Regular Italic" w:hAnsi="Theinhardt Regular Italic"/>
          <w:i/>
          <w:color w:val="231F20"/>
          <w:spacing w:val="33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puis</w:t>
      </w:r>
      <w:r>
        <w:rPr>
          <w:rFonts w:ascii="Theinhardt Regular Italic" w:hAnsi="Theinhardt Regular Italic"/>
          <w:i/>
          <w:color w:val="231F20"/>
          <w:spacing w:val="28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mai</w:t>
      </w:r>
      <w:r>
        <w:rPr>
          <w:rFonts w:ascii="Theinhardt Regular Italic" w:hAnsi="Theinhardt Regular Italic"/>
          <w:i/>
          <w:color w:val="231F20"/>
          <w:spacing w:val="29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2018</w:t>
      </w:r>
      <w:r>
        <w:rPr>
          <w:rFonts w:ascii="Theinhardt Regular Italic" w:hAnsi="Theinhardt Regular Italic"/>
          <w:i/>
          <w:color w:val="231F20"/>
          <w:spacing w:val="2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une</w:t>
      </w:r>
      <w:r>
        <w:rPr>
          <w:rFonts w:ascii="Theinhardt Regular Italic" w:hAnsi="Theinhardt Regular Italic"/>
          <w:i/>
          <w:color w:val="231F20"/>
          <w:spacing w:val="29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ancienne</w:t>
      </w:r>
      <w:r>
        <w:rPr>
          <w:rFonts w:ascii="Theinhardt Regular Italic" w:hAnsi="Theinhardt Regular Italic"/>
          <w:i/>
          <w:color w:val="231F20"/>
          <w:spacing w:val="29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ferme</w:t>
      </w:r>
      <w:r>
        <w:rPr>
          <w:rFonts w:ascii="Theinhardt Regular Italic" w:hAnsi="Theinhardt Regular Italic"/>
          <w:i/>
          <w:color w:val="231F20"/>
          <w:spacing w:val="28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qui</w:t>
      </w:r>
      <w:r>
        <w:rPr>
          <w:rFonts w:ascii="Theinhardt Regular Italic" w:hAnsi="Theinhardt Regular Italic"/>
          <w:i/>
          <w:color w:val="231F20"/>
          <w:spacing w:val="29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se</w:t>
      </w:r>
      <w:r>
        <w:rPr>
          <w:rFonts w:ascii="Theinhardt Regular Italic" w:hAnsi="Theinhardt Regular Italic"/>
          <w:i/>
          <w:color w:val="231F20"/>
          <w:spacing w:val="29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délabrait.</w:t>
      </w:r>
      <w:r>
        <w:rPr>
          <w:rFonts w:ascii="Theinhardt Regular Italic" w:hAnsi="Theinhardt Regular Italic"/>
          <w:sz w:val="18"/>
        </w:rPr>
      </w:r>
    </w:p>
    <w:p>
      <w:pPr>
        <w:spacing w:line="230" w:lineRule="exact" w:before="0"/>
        <w:ind w:left="106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D’entente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l’architecte,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propriétaire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opté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nouvelle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construction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écolo-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gique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suisse.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autorités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compé-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tentes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avaient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exigé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couleurs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ma-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tériaux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utilisés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conservent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caractère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d’origine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bâtisse.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L’isolation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laine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minérale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durable,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ventilation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double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flux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système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récupération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chaleur,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l’éclairage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LED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ainsi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l’électroménager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majorité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A+++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permettent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limiter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besoins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énergétiques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seulement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19’900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kWh/a.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06" w:right="5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pompe à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chaleur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géothermique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four-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nit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assez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chauffage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l’eau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chaude.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Orientées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sud,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fenêtres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aug-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mentent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l’utilisation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passive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l'énergie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laire.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BEP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présente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faible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indice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dépense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d'énergie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23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kWh/m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position w:val="6"/>
          <w:sz w:val="10"/>
          <w:szCs w:val="10"/>
        </w:rPr>
        <w:t>2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remplit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critères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norme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construction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Mi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g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7"/>
          <w:sz w:val="18"/>
          <w:szCs w:val="18"/>
        </w:rPr>
        <w:t>P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06" w:right="5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Bien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intégrée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versant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sud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toiture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pente,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l’installation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31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kW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génère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36’600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kWh/a.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L’énergie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solaire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profite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di-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rectement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habitants.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L’excédent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16’700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kWh/a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ou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84%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alimente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commu-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nauté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électricité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locale.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Il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permettrait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douze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véhicules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électriques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parcourir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cun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12’000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km/a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sans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émettre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9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lotissement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184%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Meisterschwanden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reçoit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Prix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Solaire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BEP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2019.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before="76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</w:t>
      </w:r>
      <w:r>
        <w:rPr>
          <w:rFonts w:ascii="Theinhardt Black"/>
          <w:b/>
          <w:color w:val="231F20"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193" w:val="left" w:leader="none"/>
          <w:tab w:pos="1788" w:val="left" w:leader="none"/>
          <w:tab w:pos="2664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1"/>
          <w:sz w:val="14"/>
        </w:rPr>
        <w:t>28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  <w:tab/>
        <w:t>U-Wert:</w:t>
        <w:tab/>
      </w:r>
      <w:r>
        <w:rPr>
          <w:rFonts w:ascii="Theinhardt Regular"/>
          <w:color w:val="231F20"/>
          <w:spacing w:val="-5"/>
          <w:sz w:val="14"/>
        </w:rPr>
        <w:t>0.12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95" w:val="left" w:leader="none"/>
          <w:tab w:pos="1788" w:val="left" w:leader="none"/>
          <w:tab w:pos="2662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Dach:</w:t>
        <w:tab/>
      </w:r>
      <w:r>
        <w:rPr>
          <w:rFonts w:ascii="Theinhardt Regular"/>
          <w:color w:val="231F20"/>
          <w:spacing w:val="-2"/>
          <w:sz w:val="14"/>
        </w:rPr>
        <w:t>24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  <w:tab/>
        <w:t>U-Wert:</w:t>
        <w:tab/>
      </w:r>
      <w:r>
        <w:rPr>
          <w:rFonts w:ascii="Theinhardt Regular"/>
          <w:color w:val="231F20"/>
          <w:spacing w:val="-5"/>
          <w:sz w:val="14"/>
        </w:rPr>
        <w:t>0.18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075" w:val="left" w:leader="none"/>
          <w:tab w:pos="1788" w:val="left" w:leader="none"/>
          <w:tab w:pos="2640" w:val="left" w:leader="none"/>
        </w:tabs>
        <w:spacing w:line="207" w:lineRule="auto" w:before="5"/>
        <w:ind w:left="106" w:right="16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Boden:</w:t>
        <w:tab/>
      </w:r>
      <w:r>
        <w:rPr>
          <w:rFonts w:ascii="Theinhardt Regular"/>
          <w:color w:val="231F20"/>
          <w:spacing w:val="-4"/>
          <w:sz w:val="14"/>
        </w:rPr>
        <w:t>16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  <w:tab/>
        <w:t>U-Wert:</w:t>
        <w:tab/>
      </w:r>
      <w:r>
        <w:rPr>
          <w:rFonts w:ascii="Theinhardt Regular"/>
          <w:color w:val="231F20"/>
          <w:spacing w:val="-1"/>
          <w:sz w:val="14"/>
        </w:rPr>
        <w:t>0.21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color w:val="231F20"/>
          <w:spacing w:val="22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Fenster:</w:t>
        <w:tab/>
      </w:r>
      <w:r>
        <w:rPr>
          <w:rFonts w:ascii="Theinhardt Regular"/>
          <w:color w:val="231F20"/>
          <w:w w:val="95"/>
          <w:sz w:val="14"/>
        </w:rPr>
        <w:t>dreifach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z w:val="14"/>
        </w:rPr>
        <w:t>0.84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3"/>
          <w:szCs w:val="3"/>
        </w:rPr>
      </w:pPr>
    </w:p>
    <w:tbl>
      <w:tblPr>
        <w:tblW w:w="0" w:type="auto"/>
        <w:jc w:val="left"/>
        <w:tblInd w:w="5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6"/>
        <w:gridCol w:w="808"/>
        <w:gridCol w:w="462"/>
        <w:gridCol w:w="653"/>
      </w:tblGrid>
      <w:tr>
        <w:trPr>
          <w:trHeight w:val="113" w:hRule="exact"/>
        </w:trPr>
        <w:tc>
          <w:tcPr>
            <w:tcW w:w="1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3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EBF:</w:t>
            </w:r>
            <w:r>
              <w:rPr>
                <w:rFonts w:ascii="Theinhardt Regular"/>
                <w:color w:val="231F20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852</w:t>
            </w:r>
            <w:r>
              <w:rPr>
                <w:rFonts w:ascii="Theinhardt Regular"/>
                <w:color w:val="231F20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m</w:t>
            </w:r>
            <w:r>
              <w:rPr>
                <w:rFonts w:ascii="Theinhardt Regular"/>
                <w:color w:val="231F20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3" w:lineRule="exact"/>
              <w:ind w:left="16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3" w:lineRule="exact"/>
              <w:ind w:left="19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3" w:lineRule="exact"/>
              <w:ind w:left="19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60" w:hRule="exact"/>
        </w:trPr>
        <w:tc>
          <w:tcPr>
            <w:tcW w:w="1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Warmwasser: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3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8.4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5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36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4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3"/>
                <w:sz w:val="14"/>
                <w:szCs w:val="14"/>
              </w:rPr>
              <w:t>7’157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Heizung: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3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3"/>
                <w:sz w:val="14"/>
              </w:rPr>
              <w:t>1.6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3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7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3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sz w:val="14"/>
                <w:szCs w:val="14"/>
              </w:rPr>
              <w:t>1’356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</w:t>
            </w:r>
            <w:r>
              <w:rPr>
                <w:rFonts w:ascii="Theinhardt Regular" w:hAnsi="Theinhardt Regular"/>
                <w:color w:val="231F20"/>
                <w:sz w:val="14"/>
              </w:rPr>
              <w:t> </w:t>
            </w:r>
            <w:r>
              <w:rPr>
                <w:rFonts w:ascii="Theinhardt Regular" w:hAnsi="Theinhardt Regular"/>
                <w:color w:val="231F20"/>
                <w:spacing w:val="1"/>
                <w:sz w:val="14"/>
              </w:rPr>
              <w:t>WP: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2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2.8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6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4"/>
                <w:sz w:val="14"/>
              </w:rPr>
              <w:t>12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2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2’385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45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10.6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5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4</w:t>
            </w:r>
            <w:r>
              <w:rPr>
                <w:rFonts w:ascii="Theinhardt Regular"/>
                <w:color w:val="231F20"/>
                <w:sz w:val="14"/>
              </w:rPr>
              <w:t>5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2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8’993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344" w:hRule="exact"/>
        </w:trPr>
        <w:tc>
          <w:tcPr>
            <w:tcW w:w="14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Gesamt-EB: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48" w:lineRule="exact" w:before="32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Energieversorgung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43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23.4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7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3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19’891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tabs>
          <w:tab w:pos="888" w:val="left" w:leader="none"/>
          <w:tab w:pos="1896" w:val="left" w:leader="none"/>
          <w:tab w:pos="2529" w:val="left" w:leader="none"/>
          <w:tab w:pos="2941" w:val="left" w:leader="none"/>
        </w:tabs>
        <w:spacing w:line="160" w:lineRule="exact" w:before="20"/>
        <w:ind w:left="106" w:right="16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Eigen-EV: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color w:val="231F20"/>
          <w:spacing w:val="11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 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PV-Dach: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177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30.6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206.7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184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36’589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410" w:val="left" w:leader="none"/>
          <w:tab w:pos="2930" w:val="left" w:leader="none"/>
        </w:tabs>
        <w:spacing w:line="177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w w:val="95"/>
          <w:sz w:val="14"/>
          <w:szCs w:val="14"/>
        </w:rPr>
        <w:t>184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36’589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1909" w:val="left" w:leader="none"/>
          <w:tab w:pos="2945" w:val="left" w:leader="none"/>
        </w:tabs>
        <w:spacing w:before="32"/>
        <w:ind w:left="106" w:right="0" w:firstLine="0"/>
        <w:jc w:val="left"/>
        <w:rPr>
          <w:rFonts w:ascii="Theinhardt Regular Italic" w:hAnsi="Theinhardt Regular Italic" w:cs="Theinhardt Regular Italic" w:eastAsia="Theinhardt Regular Italic"/>
          <w:sz w:val="14"/>
          <w:szCs w:val="14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4"/>
          <w:szCs w:val="14"/>
        </w:rPr>
        <w:t>Potential*: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4"/>
          <w:szCs w:val="14"/>
        </w:rPr>
        <w:t> 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4"/>
          <w:szCs w:val="14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4"/>
          <w:szCs w:val="14"/>
        </w:rPr>
        <w:t>354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4"/>
          <w:szCs w:val="14"/>
        </w:rPr>
        <w:t>  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4"/>
          <w:szCs w:val="14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4"/>
          <w:szCs w:val="14"/>
        </w:rPr>
        <w:t>61.2</w:t>
        <w:tab/>
        <w:t>172.3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4"/>
          <w:szCs w:val="14"/>
        </w:rPr>
        <w:t> 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4"/>
          <w:szCs w:val="14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4"/>
          <w:szCs w:val="14"/>
        </w:rPr>
        <w:t>307</w:t>
        <w:tab/>
        <w:t>60’981</w:t>
      </w:r>
      <w:r>
        <w:rPr>
          <w:rFonts w:ascii="Theinhardt Regular Italic" w:hAnsi="Theinhardt Regular Italic" w:cs="Theinhardt Regular Italic" w:eastAsia="Theinhardt Regular Italic"/>
          <w:sz w:val="14"/>
          <w:szCs w:val="14"/>
        </w:rPr>
      </w:r>
    </w:p>
    <w:p>
      <w:pPr>
        <w:tabs>
          <w:tab w:pos="2529" w:val="left" w:leader="none"/>
          <w:tab w:pos="2992" w:val="left" w:leader="none"/>
        </w:tabs>
        <w:spacing w:line="172" w:lineRule="exact" w:before="32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410" w:val="left" w:leader="none"/>
          <w:tab w:pos="2930" w:val="left" w:leader="none"/>
        </w:tabs>
        <w:spacing w:line="160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w w:val="95"/>
          <w:sz w:val="14"/>
          <w:szCs w:val="14"/>
        </w:rPr>
        <w:t>184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36’589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10" w:val="left" w:leader="none"/>
          <w:tab w:pos="2951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19’891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489" w:val="left" w:leader="none"/>
          <w:tab w:pos="2934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84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16’698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06" w:right="0" w:firstLine="0"/>
        <w:jc w:val="left"/>
        <w:rPr>
          <w:rFonts w:ascii="Theinhardt Regular Italic" w:hAnsi="Theinhardt Regular Italic" w:cs="Theinhardt Regular Italic" w:eastAsia="Theinhardt Regular Italic"/>
          <w:sz w:val="14"/>
          <w:szCs w:val="14"/>
        </w:rPr>
      </w:pPr>
      <w:r>
        <w:rPr>
          <w:rFonts w:ascii="Theinhardt Regular Italic" w:hAnsi="Theinhardt Regular Italic"/>
          <w:i/>
          <w:color w:val="231F20"/>
          <w:spacing w:val="2"/>
          <w:sz w:val="14"/>
        </w:rPr>
        <w:t>*Potential</w:t>
      </w:r>
      <w:r>
        <w:rPr>
          <w:rFonts w:ascii="Theinhardt Regular Italic" w:hAnsi="Theinhardt Regular Italic"/>
          <w:i/>
          <w:color w:val="231F20"/>
          <w:sz w:val="14"/>
        </w:rPr>
        <w:t> </w:t>
      </w:r>
      <w:r>
        <w:rPr>
          <w:rFonts w:ascii="Theinhardt Regular Italic" w:hAnsi="Theinhardt Regular Italic"/>
          <w:i/>
          <w:color w:val="231F20"/>
          <w:spacing w:val="2"/>
          <w:sz w:val="14"/>
        </w:rPr>
        <w:t>Dachfläche</w:t>
      </w:r>
      <w:r>
        <w:rPr>
          <w:rFonts w:ascii="Theinhardt Regular Italic" w:hAnsi="Theinhardt Regular Italic"/>
          <w:sz w:val="14"/>
        </w:rPr>
      </w:r>
    </w:p>
    <w:p>
      <w:pPr>
        <w:spacing w:line="160" w:lineRule="exact" w:before="96"/>
        <w:ind w:left="106" w:right="48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Bestätigt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von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AEW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02.07.2019</w:t>
      </w:r>
      <w:r>
        <w:rPr>
          <w:rFonts w:ascii="Theinhardt Regular" w:hAnsi="Theinhardt Regular"/>
          <w:color w:val="231F20"/>
          <w:spacing w:val="28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von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Peter</w:t>
      </w:r>
      <w:r>
        <w:rPr>
          <w:rFonts w:ascii="Theinhardt Regular" w:hAnsi="Theinhardt Regular"/>
          <w:color w:val="231F20"/>
          <w:sz w:val="14"/>
        </w:rPr>
        <w:t> Zellner,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+41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62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834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23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40</w:t>
      </w:r>
      <w:r>
        <w:rPr>
          <w:rFonts w:ascii="Theinhardt Regular" w:hAnsi="Theinhardt Regular"/>
          <w:sz w:val="14"/>
        </w:rPr>
      </w:r>
    </w:p>
    <w:p>
      <w:pPr>
        <w:spacing w:before="105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Rütigasse</w:t>
      </w:r>
      <w:r>
        <w:rPr>
          <w:rFonts w:ascii="Theinhardt Regular" w:hAnsi="Theinhardt Regular"/>
          <w:color w:val="231F20"/>
          <w:sz w:val="14"/>
        </w:rPr>
        <w:t> 2, 4 + 6, </w:t>
      </w:r>
      <w:r>
        <w:rPr>
          <w:rFonts w:ascii="Theinhardt Regular" w:hAnsi="Theinhardt Regular"/>
          <w:color w:val="231F20"/>
          <w:spacing w:val="-3"/>
          <w:sz w:val="14"/>
        </w:rPr>
        <w:t>5616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Meisterschwanden/Tennwil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Architektur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und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Realisation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Setz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Architektur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Obermatt</w:t>
      </w:r>
      <w:r>
        <w:rPr>
          <w:rFonts w:ascii="Theinhardt Regular"/>
          <w:color w:val="231F20"/>
          <w:sz w:val="14"/>
        </w:rPr>
        <w:t> 33, </w:t>
      </w:r>
      <w:r>
        <w:rPr>
          <w:rFonts w:ascii="Theinhardt Regular"/>
          <w:color w:val="231F20"/>
          <w:spacing w:val="-4"/>
          <w:sz w:val="14"/>
        </w:rPr>
        <w:t>5102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Rupperswil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+41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62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889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22</w:t>
      </w:r>
      <w:r>
        <w:rPr>
          <w:rFonts w:ascii="Theinhardt Regular"/>
          <w:color w:val="231F20"/>
          <w:sz w:val="14"/>
        </w:rPr>
        <w:t> 60</w:t>
      </w:r>
      <w:hyperlink r:id="rId5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info@setz-architektur.ch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Installation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PV-Anlage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Netz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Luzernerstrasse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131,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6014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Luzern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+41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319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00</w:t>
      </w:r>
      <w:hyperlink r:id="rId6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info@benetz.ch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HLK-Planung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Poly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Team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Wildischachenstrasse</w:t>
      </w:r>
      <w:r>
        <w:rPr>
          <w:rFonts w:ascii="Theinhardt Regular"/>
          <w:color w:val="231F20"/>
          <w:sz w:val="14"/>
        </w:rPr>
        <w:t> 36, 5200 </w:t>
      </w:r>
      <w:r>
        <w:rPr>
          <w:rFonts w:ascii="Theinhardt Regular"/>
          <w:color w:val="231F20"/>
          <w:spacing w:val="2"/>
          <w:sz w:val="14"/>
        </w:rPr>
        <w:t>Brugg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+41</w:t>
      </w:r>
      <w:r>
        <w:rPr>
          <w:rFonts w:ascii="Theinhardt Regular"/>
          <w:color w:val="231F20"/>
          <w:sz w:val="14"/>
        </w:rPr>
        <w:t> 56 </w:t>
      </w:r>
      <w:r>
        <w:rPr>
          <w:rFonts w:ascii="Theinhardt Regular"/>
          <w:color w:val="231F20"/>
          <w:spacing w:val="-2"/>
          <w:sz w:val="14"/>
        </w:rPr>
        <w:t>441</w:t>
      </w:r>
      <w:r>
        <w:rPr>
          <w:rFonts w:ascii="Theinhardt Regular"/>
          <w:color w:val="231F20"/>
          <w:sz w:val="14"/>
        </w:rPr>
        <w:t> 96 </w:t>
      </w:r>
      <w:r>
        <w:rPr>
          <w:rFonts w:ascii="Theinhardt Regular"/>
          <w:color w:val="231F20"/>
          <w:spacing w:val="-4"/>
          <w:sz w:val="14"/>
        </w:rPr>
        <w:t>21</w:t>
      </w:r>
      <w:hyperlink r:id="rId7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info@polyteam.ch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Holzbau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Renggli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Gläng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16,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6247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Schötz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85.511902pt;margin-top:10.421994pt;width:167.25pt;height:.45pt;mso-position-horizontal-relative:page;mso-position-vertical-relative:paragraph;z-index:1168" coordorigin="7710,208" coordsize="3345,9">
            <v:group style="position:absolute;left:7732;top:213;width:3311;height:2" coordorigin="7732,213" coordsize="3311,2">
              <v:shape style="position:absolute;left:7732;top:213;width:3311;height:2" coordorigin="7732,213" coordsize="3311,0" path="m7732,213l11042,213e" filled="false" stroked="true" strokeweight=".425pt" strokecolor="#231f20">
                <v:path arrowok="t"/>
                <v:stroke dashstyle="dash"/>
              </v:shape>
            </v:group>
            <v:group style="position:absolute;left:7714;top:213;width:2;height:2" coordorigin="7714,213" coordsize="2,2">
              <v:shape style="position:absolute;left:7714;top:213;width:2;height:2" coordorigin="7714,213" coordsize="0,0" path="m7714,213l7714,213e" filled="false" stroked="true" strokeweight=".425pt" strokecolor="#231f20">
                <v:path arrowok="t"/>
              </v:shape>
            </v:group>
            <v:group style="position:absolute;left:11051;top:213;width:2;height:2" coordorigin="11051,213" coordsize="2,2">
              <v:shape style="position:absolute;left:11051;top:213;width:2;height:2" coordorigin="11051,213" coordsize="0,0" path="m11051,213l11051,213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+41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62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748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</w:t>
      </w:r>
      <w:hyperlink r:id="rId8">
        <w:r>
          <w:rPr>
            <w:rFonts w:ascii="Theinhardt Regular"/>
            <w:color w:val="231F20"/>
            <w:spacing w:val="-1"/>
            <w:sz w:val="14"/>
          </w:rPr>
          <w:t>2,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mail@renggli.swiss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40" w:bottom="280" w:left="460" w:right="740"/>
          <w:cols w:num="3" w:equalWidth="0">
            <w:col w:w="3463" w:space="108"/>
            <w:col w:w="3460" w:space="112"/>
            <w:col w:w="3567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3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44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2019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2019</w:t>
      </w:r>
      <w:r>
        <w:rPr>
          <w:rFonts w:ascii="Theinhardt Regular"/>
          <w:sz w:val="14"/>
        </w:rPr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40" w:bottom="280" w:left="460" w:right="740"/>
        </w:sectPr>
      </w:pP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18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68083" cy="4288536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8083" cy="428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8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p>
      <w:pPr>
        <w:tabs>
          <w:tab w:pos="5475" w:val="left" w:leader="none"/>
        </w:tabs>
        <w:spacing w:line="200" w:lineRule="atLeast"/>
        <w:ind w:left="118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3259010" cy="2392679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9010" cy="239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3254858" cy="2389631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4858" cy="238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5475" w:val="left" w:leader="none"/>
        </w:tabs>
        <w:spacing w:before="14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5"/>
          <w:szCs w:val="15"/>
        </w:rPr>
        <w:sectPr>
          <w:pgSz w:w="11910" w:h="16840"/>
          <w:pgMar w:top="860" w:bottom="280" w:left="720" w:right="460"/>
        </w:sectPr>
      </w:pPr>
    </w:p>
    <w:p>
      <w:pPr>
        <w:numPr>
          <w:ilvl w:val="0"/>
          <w:numId w:val="1"/>
        </w:numPr>
        <w:tabs>
          <w:tab w:pos="353" w:val="left" w:leader="none"/>
        </w:tabs>
        <w:spacing w:line="160" w:lineRule="exact" w:before="76"/>
        <w:ind w:left="353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Reihenhaus-Anlage in Meisterschwanden/</w:t>
      </w:r>
      <w:r>
        <w:rPr>
          <w:rFonts w:ascii="Theinhardt Bold" w:hAnsi="Theinhardt Bold"/>
          <w:b/>
          <w:color w:val="231F20"/>
          <w:spacing w:val="24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Tennwil</w:t>
      </w:r>
      <w:r>
        <w:rPr>
          <w:rFonts w:ascii="Theinhardt Bold" w:hAnsi="Theinhardt Bold"/>
          <w:b/>
          <w:color w:val="231F20"/>
          <w:sz w:val="14"/>
        </w:rPr>
        <w:t> ersetzte ein baufälliges Bauernhaus und</w:t>
      </w:r>
      <w:r>
        <w:rPr>
          <w:rFonts w:ascii="Theinhardt Bold" w:hAnsi="Theinhardt Bold"/>
          <w:b/>
          <w:color w:val="231F20"/>
          <w:spacing w:val="27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fügt </w:t>
      </w:r>
      <w:r>
        <w:rPr>
          <w:rFonts w:ascii="Theinhardt Bold" w:hAnsi="Theinhardt Bold"/>
          <w:b/>
          <w:color w:val="231F20"/>
          <w:spacing w:val="-1"/>
          <w:sz w:val="14"/>
        </w:rPr>
        <w:t>sich</w:t>
      </w:r>
      <w:r>
        <w:rPr>
          <w:rFonts w:ascii="Theinhardt Bold" w:hAnsi="Theinhardt Bold"/>
          <w:b/>
          <w:color w:val="231F20"/>
          <w:sz w:val="14"/>
        </w:rPr>
        <w:t> elegant in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Umgebung ein.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53" w:val="left" w:leader="none"/>
        </w:tabs>
        <w:spacing w:line="160" w:lineRule="exact" w:before="76"/>
        <w:ind w:left="353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br w:type="column"/>
        <w:t>Die </w:t>
      </w:r>
      <w:r>
        <w:rPr>
          <w:rFonts w:ascii="Theinhardt Bold" w:hAnsi="Theinhardt Bold"/>
          <w:b/>
          <w:color w:val="231F20"/>
          <w:spacing w:val="-1"/>
          <w:sz w:val="14"/>
        </w:rPr>
        <w:t>grossen</w:t>
      </w:r>
      <w:r>
        <w:rPr>
          <w:rFonts w:ascii="Theinhardt Bold" w:hAnsi="Theinhardt Bold"/>
          <w:b/>
          <w:color w:val="231F20"/>
          <w:sz w:val="14"/>
        </w:rPr>
        <w:t> und im Sommer teilweise </w:t>
      </w:r>
      <w:r>
        <w:rPr>
          <w:rFonts w:ascii="Theinhardt Bold" w:hAnsi="Theinhardt Bold"/>
          <w:b/>
          <w:color w:val="231F20"/>
          <w:spacing w:val="-1"/>
          <w:sz w:val="14"/>
        </w:rPr>
        <w:t>verschat-</w:t>
      </w:r>
      <w:r>
        <w:rPr>
          <w:rFonts w:ascii="Theinhardt Bold" w:hAnsi="Theinhardt Bold"/>
          <w:b/>
          <w:color w:val="231F20"/>
          <w:spacing w:val="32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teten </w:t>
      </w:r>
      <w:r>
        <w:rPr>
          <w:rFonts w:ascii="Theinhardt Bold" w:hAnsi="Theinhardt Bold"/>
          <w:b/>
          <w:color w:val="231F20"/>
          <w:spacing w:val="-1"/>
          <w:sz w:val="14"/>
        </w:rPr>
        <w:t>Fenster</w:t>
      </w:r>
      <w:r>
        <w:rPr>
          <w:rFonts w:ascii="Theinhardt Bold" w:hAnsi="Theinhardt Bold"/>
          <w:b/>
          <w:color w:val="231F20"/>
          <w:sz w:val="14"/>
        </w:rPr>
        <w:t> ermöglichen eine </w:t>
      </w:r>
      <w:r>
        <w:rPr>
          <w:rFonts w:ascii="Theinhardt Bold" w:hAnsi="Theinhardt Bold"/>
          <w:b/>
          <w:color w:val="231F20"/>
          <w:spacing w:val="-1"/>
          <w:sz w:val="14"/>
        </w:rPr>
        <w:t>höhere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solare</w:t>
      </w:r>
      <w:r>
        <w:rPr>
          <w:rFonts w:ascii="Theinhardt Bold" w:hAnsi="Theinhardt Bold"/>
          <w:b/>
          <w:color w:val="231F20"/>
          <w:spacing w:val="29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Passivnutzung ohne Überhitzung im </w:t>
      </w:r>
      <w:r>
        <w:rPr>
          <w:rFonts w:ascii="Theinhardt Bold" w:hAnsi="Theinhardt Bold"/>
          <w:b/>
          <w:color w:val="231F20"/>
          <w:spacing w:val="-2"/>
          <w:sz w:val="14"/>
        </w:rPr>
        <w:t>Sommer.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53" w:val="left" w:leader="none"/>
        </w:tabs>
        <w:spacing w:line="160" w:lineRule="exact" w:before="76"/>
        <w:ind w:left="353" w:right="148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Die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PV-Dachanlage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rund 36’600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5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kWh.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20" w:right="460"/>
          <w:cols w:num="3" w:equalWidth="0">
            <w:col w:w="3451" w:space="121"/>
            <w:col w:w="3397" w:space="175"/>
            <w:col w:w="3586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8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2019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2019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45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40" w:bottom="280" w:left="7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5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62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72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8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91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01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20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3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6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setz-architektur.ch" TargetMode="External"/><Relationship Id="rId6" Type="http://schemas.openxmlformats.org/officeDocument/2006/relationships/hyperlink" Target="mailto:info@benetz.ch" TargetMode="External"/><Relationship Id="rId7" Type="http://schemas.openxmlformats.org/officeDocument/2006/relationships/hyperlink" Target="mailto:info@polyteam.ch" TargetMode="External"/><Relationship Id="rId8" Type="http://schemas.openxmlformats.org/officeDocument/2006/relationships/hyperlink" Target="mailto:mail@renggli.swiss" TargetMode="Externa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2019-10-03T16:24:13Z</dcterms:created>
  <dcterms:modified xsi:type="dcterms:W3CDTF">2019-10-03T16:24:13Z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LastSaved">
    <vt:filetime>2019-10-03T00:00:00Z</vt:filetime>
  </property>
</Properties>
</file>